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9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6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6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lineRule="auto" w:line="288" w:before="0" w:after="120"/>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color w:val="000000"/>
                <w:sz w:val="19"/>
              </w:rPr>
            </w:pPr>
            <w:r>
              <w:rPr>
                <w:rFonts w:ascii="Arial;sans-serif" w:hAnsi="Arial;sans-serif"/>
                <w:b/>
                <w:color w:val="000000"/>
                <w:sz w:val="19"/>
              </w:rPr>
              <w:t>QUARTERLY REPORT PURSUANT TO SECTION 13 OR 15(d) OF THE SECURITIES EXCHANGE ACT OF 1934</w:t>
            </w:r>
          </w:p>
        </w:tc>
      </w:tr>
    </w:tbl>
    <w:p>
      <w:pPr>
        <w:pStyle w:val="TextBody"/>
        <w:bidi w:val="0"/>
        <w:spacing w:lineRule="auto" w:line="288" w:before="0" w:after="120"/>
        <w:jc w:val="center"/>
        <w:rPr>
          <w:rFonts w:ascii="Arial;sans-serif" w:hAnsi="Arial;sans-serif"/>
          <w:b/>
          <w:color w:val="000000"/>
          <w:sz w:val="19"/>
        </w:rPr>
      </w:pPr>
      <w:r>
        <w:rPr>
          <w:rFonts w:ascii="Arial;sans-serif" w:hAnsi="Arial;sans-serif"/>
          <w:b/>
          <w:color w:val="000000"/>
          <w:sz w:val="19"/>
        </w:rPr>
        <w:t>For the quarterly period ended June 30, 2025</w:t>
      </w:r>
    </w:p>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color w:val="000000"/>
                <w:sz w:val="19"/>
              </w:rPr>
            </w:pPr>
            <w:r>
              <w:rPr>
                <w:rFonts w:ascii="Arial;sans-serif" w:hAnsi="Arial;sans-serif"/>
                <w:b/>
                <w:color w:val="000000"/>
                <w:sz w:val="19"/>
              </w:rPr>
              <w:t>TRANSITION REPORT PURSUANT TO SECTION 13 OR 15(d) OF THE SECURITIES EXCHANGE ACT OF 1934</w:t>
            </w:r>
          </w:p>
        </w:tc>
      </w:tr>
    </w:tbl>
    <w:p>
      <w:pPr>
        <w:pStyle w:val="TextBody"/>
        <w:bidi w:val="0"/>
        <w:spacing w:lineRule="auto" w:line="288" w:before="0" w:after="120"/>
        <w:jc w:val="center"/>
        <w:rPr>
          <w:rFonts w:ascii="Arial;sans-serif" w:hAnsi="Arial;sans-serif"/>
          <w:b/>
          <w:color w:val="000000"/>
          <w:sz w:val="19"/>
        </w:rPr>
      </w:pPr>
      <w:r>
        <w:rPr>
          <w:rFonts w:ascii="Arial;sans-serif" w:hAnsi="Arial;sans-serif"/>
          <w:b/>
          <w:color w:val="000000"/>
          <w:sz w:val="19"/>
        </w:rPr>
        <w:t xml:space="preserve">For the transition period from                 to                 </w:t>
      </w:r>
    </w:p>
    <w:p>
      <w:pPr>
        <w:pStyle w:val="TextBody"/>
        <w:bidi w:val="0"/>
        <w:spacing w:lineRule="auto" w:line="288" w:before="0" w:after="240"/>
        <w:jc w:val="center"/>
        <w:rPr>
          <w:rFonts w:ascii="Arial;sans-serif" w:hAnsi="Arial;sans-serif"/>
          <w:b/>
          <w:color w:val="000000"/>
          <w:sz w:val="19"/>
        </w:rPr>
      </w:pPr>
      <w:r>
        <w:rPr>
          <w:rFonts w:ascii="Arial;sans-serif" w:hAnsi="Arial;sans-serif"/>
          <w:b/>
          <w:color w:val="000000"/>
          <w:sz w:val="19"/>
        </w:rPr>
        <w:t xml:space="preserve">Commission file number 001-42043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Silvaco Group, Inc.</w:t>
      </w:r>
    </w:p>
    <w:p>
      <w:pPr>
        <w:pStyle w:val="TextBody"/>
        <w:bidi w:val="0"/>
        <w:spacing w:lineRule="auto" w:line="288" w:before="0" w:after="120"/>
        <w:jc w:val="center"/>
        <w:rPr>
          <w:rFonts w:ascii="Arial;sans-serif" w:hAnsi="Arial;sans-serif"/>
          <w:b/>
          <w:color w:val="000000"/>
          <w:sz w:val="19"/>
        </w:rPr>
      </w:pPr>
      <w:r>
        <w:rPr>
          <w:rFonts w:ascii="Arial;sans-serif" w:hAnsi="Arial;sans-serif"/>
          <w:b/>
          <w:color w:val="000000"/>
          <w:sz w:val="19"/>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471" w:type="dxa"/>
        <w:jc w:val="left"/>
        <w:tblInd w:w="0" w:type="dxa"/>
        <w:tblLayout w:type="fixed"/>
        <w:tblCellMar>
          <w:top w:w="28" w:type="dxa"/>
          <w:left w:w="28" w:type="dxa"/>
          <w:bottom w:w="28" w:type="dxa"/>
          <w:right w:w="28" w:type="dxa"/>
        </w:tblCellMar>
      </w:tblPr>
      <w:tblGrid>
        <w:gridCol w:w="1059"/>
        <w:gridCol w:w="930"/>
        <w:gridCol w:w="936"/>
        <w:gridCol w:w="109"/>
        <w:gridCol w:w="109"/>
        <w:gridCol w:w="109"/>
        <w:gridCol w:w="648"/>
        <w:gridCol w:w="648"/>
        <w:gridCol w:w="923"/>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27-1503712</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(State or other jurisdiction of</w:t>
            </w:r>
          </w:p>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(I.R.S. Employer</w:t>
            </w:r>
          </w:p>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Identification Number)</w:t>
            </w:r>
          </w:p>
        </w:tc>
      </w:tr>
    </w:tbl>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4701 Patrick Henry Drive, Building #23</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Santa Clara, CA 95054</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(408) 567-1000</w:t>
      </w:r>
    </w:p>
    <w:p>
      <w:pPr>
        <w:pStyle w:val="TextBody"/>
        <w:bidi w:val="0"/>
        <w:spacing w:lineRule="auto" w:line="288" w:before="0" w:after="60"/>
        <w:jc w:val="center"/>
        <w:rPr>
          <w:rFonts w:ascii="Arial;sans-serif" w:hAnsi="Arial;sans-serif"/>
          <w:b/>
          <w:color w:val="000000"/>
          <w:sz w:val="19"/>
        </w:rPr>
      </w:pPr>
      <w:r>
        <w:rPr>
          <w:rFonts w:ascii="Arial;sans-serif" w:hAnsi="Arial;sans-serif"/>
          <w:b/>
          <w:color w:val="000000"/>
          <w:sz w:val="19"/>
        </w:rPr>
        <w:t>(Address, including zip code, and telephone number, including area code, of Registrant’s principal executive offices)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276"/>
        <w:gridCol w:w="1119"/>
        <w:gridCol w:w="1131"/>
        <w:gridCol w:w="109"/>
        <w:gridCol w:w="109"/>
        <w:gridCol w:w="109"/>
        <w:gridCol w:w="604"/>
        <w:gridCol w:w="604"/>
        <w:gridCol w:w="606"/>
        <w:gridCol w:w="109"/>
        <w:gridCol w:w="109"/>
        <w:gridCol w:w="109"/>
        <w:gridCol w:w="1230"/>
        <w:gridCol w:w="1230"/>
        <w:gridCol w:w="1751"/>
      </w:tblGrid>
      <w:tr>
        <w:trPr/>
        <w:tc>
          <w:tcPr>
            <w:tcW w:w="127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r>
      <w:tr>
        <w:trPr/>
        <w:tc>
          <w:tcPr>
            <w:tcW w:w="3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Name of each exchange on which registered</w:t>
            </w:r>
          </w:p>
        </w:tc>
      </w:tr>
      <w:tr>
        <w:trPr/>
        <w:tc>
          <w:tcPr>
            <w:tcW w:w="3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SVCO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The Nasdaq Stock Market LLC</w:t>
            </w:r>
          </w:p>
        </w:tc>
      </w:tr>
    </w:tbl>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5168"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Indicate by check mark whether the registrant is a shell company (as defined in Rule 12b-2 of the Act).     Yes ☐     No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August 4, 2025 the registrant had 30,382,107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240"/>
        <w:jc w:val="center"/>
        <w:rPr>
          <w:rFonts w:ascii="Arial;sans-serif" w:hAnsi="Arial;sans-serif"/>
          <w:b/>
          <w:color w:val="000000"/>
          <w:sz w:val="19"/>
        </w:rPr>
      </w:pPr>
      <w:r>
        <w:rPr>
          <w:rFonts w:ascii="Arial;sans-serif" w:hAnsi="Arial;sans-serif"/>
          <w:b/>
          <w:color w:val="000000"/>
          <w:sz w:val="19"/>
        </w:rPr>
        <w:t>TABLE OF CONTENTS</w:t>
      </w:r>
    </w:p>
    <w:tbl>
      <w:tblPr>
        <w:tblW w:w="8760" w:type="dxa"/>
        <w:jc w:val="left"/>
        <w:tblInd w:w="0" w:type="dxa"/>
        <w:tblLayout w:type="fixed"/>
        <w:tblCellMar>
          <w:top w:w="28" w:type="dxa"/>
          <w:left w:w="28" w:type="dxa"/>
          <w:bottom w:w="28" w:type="dxa"/>
          <w:right w:w="28" w:type="dxa"/>
        </w:tblCellMar>
      </w:tblPr>
      <w:tblGrid>
        <w:gridCol w:w="288"/>
        <w:gridCol w:w="252"/>
        <w:gridCol w:w="255"/>
        <w:gridCol w:w="2448"/>
        <w:gridCol w:w="2448"/>
        <w:gridCol w:w="2453"/>
        <w:gridCol w:w="180"/>
        <w:gridCol w:w="180"/>
        <w:gridCol w:w="256"/>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Page</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PART I.</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aa8cb66ad41bcb8b74e1704a963fe_10">
              <w:r>
                <w:rPr>
                  <w:rStyle w:val="InternetLink"/>
                  <w:rFonts w:ascii="Arial;sans-serif" w:hAnsi="Arial;sans-serif"/>
                  <w:b w:val="false"/>
                  <w:color w:val="0000FF"/>
                  <w:sz w:val="19"/>
                  <w:u w:val="single"/>
                </w:rPr>
                <w:t>Financial Information</w:t>
              </w:r>
            </w:hyperlink>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996aa8cb66ad41bcb8b74e1704a963fe_10">
              <w:r>
                <w:rPr>
                  <w:rStyle w:val="InternetLink"/>
                  <w:rFonts w:ascii="Arial;sans-serif" w:hAnsi="Arial;sans-serif"/>
                  <w:b w:val="false"/>
                  <w:color w:val="0000FF"/>
                  <w:sz w:val="19"/>
                  <w:u w:val="single"/>
                </w:rPr>
                <w:t>1</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aa8cb66ad41bcb8b74e1704a963fe_13">
              <w:r>
                <w:rPr>
                  <w:rStyle w:val="InternetLink"/>
                  <w:rFonts w:ascii="Arial;sans-serif" w:hAnsi="Arial;sans-serif"/>
                  <w:b w:val="false"/>
                  <w:color w:val="0000FF"/>
                  <w:sz w:val="19"/>
                  <w:u w:val="single"/>
                </w:rPr>
                <w:t>Financial Statements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6aa8cb66ad41bcb8b74e1704a963fe_13">
              <w:r>
                <w:rPr>
                  <w:rStyle w:val="InternetLink"/>
                  <w:rFonts w:ascii="Arial;sans-serif" w:hAnsi="Arial;sans-serif"/>
                  <w:b w:val="false"/>
                  <w:color w:val="0000FF"/>
                  <w:sz w:val="19"/>
                  <w:u w:val="single"/>
                </w:rPr>
                <w:t>1</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aa8cb66ad41bcb8b74e1704a963fe_16">
              <w:r>
                <w:rPr>
                  <w:rStyle w:val="InternetLink"/>
                  <w:rFonts w:ascii="Arial;sans-serif" w:hAnsi="Arial;sans-serif"/>
                  <w:b w:val="false"/>
                  <w:color w:val="0000FF"/>
                  <w:sz w:val="19"/>
                  <w:u w:val="single"/>
                </w:rPr>
                <w:t>Condensed Consolidated Balance Sheets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6aa8cb66ad41bcb8b74e1704a963fe_16">
              <w:r>
                <w:rPr>
                  <w:rStyle w:val="InternetLink"/>
                  <w:rFonts w:ascii="Arial;sans-serif" w:hAnsi="Arial;sans-serif"/>
                  <w:b w:val="false"/>
                  <w:color w:val="0000FF"/>
                  <w:sz w:val="19"/>
                  <w:u w:val="single"/>
                </w:rPr>
                <w:t>1</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aa8cb66ad41bcb8b74e1704a963fe_16">
              <w:r>
                <w:rPr>
                  <w:rStyle w:val="InternetLink"/>
                  <w:rFonts w:ascii="Arial;sans-serif" w:hAnsi="Arial;sans-serif"/>
                  <w:b w:val="false"/>
                  <w:color w:val="0000FF"/>
                  <w:sz w:val="19"/>
                  <w:u w:val="single"/>
                </w:rPr>
                <w:t>Condensed Consolidated</w:t>
              </w:r>
            </w:hyperlink>
            <w:r>
              <w:rPr>
                <w:color w:val="000000"/>
              </w:rPr>
              <w:t xml:space="preserve"> </w:t>
            </w:r>
            <w:hyperlink w:anchor="i996aa8cb66ad41bcb8b74e1704a963fe_19">
              <w:r>
                <w:rPr>
                  <w:rStyle w:val="InternetLink"/>
                  <w:rFonts w:ascii="Arial;sans-serif" w:hAnsi="Arial;sans-serif"/>
                  <w:b w:val="false"/>
                  <w:color w:val="0000FF"/>
                  <w:sz w:val="19"/>
                  <w:u w:val="single"/>
                </w:rPr>
                <w:t>Statements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6aa8cb66ad41bcb8b74e1704a963fe_19">
              <w:r>
                <w:rPr>
                  <w:rStyle w:val="InternetLink"/>
                  <w:rFonts w:ascii="Arial;sans-serif" w:hAnsi="Arial;sans-serif"/>
                  <w:b w:val="false"/>
                  <w:color w:val="0000FF"/>
                  <w:sz w:val="19"/>
                  <w:u w:val="single"/>
                </w:rPr>
                <w:t>2</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aa8cb66ad41bcb8b74e1704a963fe_16">
              <w:r>
                <w:rPr>
                  <w:rStyle w:val="InternetLink"/>
                  <w:rFonts w:ascii="Arial;sans-serif" w:hAnsi="Arial;sans-serif"/>
                  <w:b w:val="false"/>
                  <w:color w:val="0000FF"/>
                  <w:sz w:val="19"/>
                  <w:u w:val="single"/>
                </w:rPr>
                <w:t>Condensed Consolidated</w:t>
              </w:r>
            </w:hyperlink>
            <w:r>
              <w:rPr>
                <w:color w:val="000000"/>
              </w:rPr>
              <w:t xml:space="preserve"> </w:t>
            </w:r>
            <w:hyperlink w:anchor="i996aa8cb66ad41bcb8b74e1704a963fe_22">
              <w:r>
                <w:rPr>
                  <w:rStyle w:val="InternetLink"/>
                  <w:rFonts w:ascii="Arial;sans-serif" w:hAnsi="Arial;sans-serif"/>
                  <w:b w:val="false"/>
                  <w:color w:val="0000FF"/>
                  <w:sz w:val="19"/>
                  <w:u w:val="single"/>
                </w:rPr>
                <w:t>Statements of Comprehensive Loss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6aa8cb66ad41bcb8b74e1704a963fe_22">
              <w:r>
                <w:rPr>
                  <w:rStyle w:val="InternetLink"/>
                  <w:rFonts w:ascii="Arial;sans-serif" w:hAnsi="Arial;sans-serif"/>
                  <w:b w:val="false"/>
                  <w:color w:val="0000FF"/>
                  <w:sz w:val="19"/>
                  <w:u w:val="single"/>
                </w:rPr>
                <w:t>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aa8cb66ad41bcb8b74e1704a963fe_25">
              <w:r>
                <w:rPr>
                  <w:rStyle w:val="InternetLink"/>
                  <w:rFonts w:ascii="Arial;sans-serif" w:hAnsi="Arial;sans-serif"/>
                  <w:b w:val="false"/>
                  <w:color w:val="0000FF"/>
                  <w:sz w:val="19"/>
                  <w:u w:val="single"/>
                </w:rPr>
                <w:t>Condensed Consolidated Statements of Stockholders' Equity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6aa8cb66ad41bcb8b74e1704a963fe_25">
              <w:r>
                <w:rPr>
                  <w:rStyle w:val="InternetLink"/>
                  <w:rFonts w:ascii="Arial;sans-serif" w:hAnsi="Arial;sans-serif"/>
                  <w:b w:val="false"/>
                  <w:color w:val="0000FF"/>
                  <w:sz w:val="19"/>
                  <w:u w:val="single"/>
                </w:rPr>
                <w:t>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aa8cb66ad41bcb8b74e1704a963fe_16">
              <w:r>
                <w:rPr>
                  <w:rStyle w:val="InternetLink"/>
                  <w:rFonts w:ascii="Arial;sans-serif" w:hAnsi="Arial;sans-serif"/>
                  <w:b w:val="false"/>
                  <w:color w:val="0000FF"/>
                  <w:sz w:val="19"/>
                  <w:u w:val="single"/>
                </w:rPr>
                <w:t>Condensed Consolidated</w:t>
              </w:r>
            </w:hyperlink>
            <w:r>
              <w:rPr>
                <w:color w:val="000000"/>
              </w:rPr>
              <w:t xml:space="preserve"> </w:t>
            </w:r>
            <w:hyperlink w:anchor="i996aa8cb66ad41bcb8b74e1704a963fe_28">
              <w:r>
                <w:rPr>
                  <w:rStyle w:val="InternetLink"/>
                  <w:rFonts w:ascii="Arial;sans-serif" w:hAnsi="Arial;sans-serif"/>
                  <w:b w:val="false"/>
                  <w:color w:val="0000FF"/>
                  <w:sz w:val="19"/>
                  <w:u w:val="single"/>
                </w:rPr>
                <w:t>Statements of Cash Flows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6aa8cb66ad41bcb8b74e1704a963fe_28">
              <w:r>
                <w:rPr>
                  <w:rStyle w:val="InternetLink"/>
                  <w:rFonts w:ascii="Arial;sans-serif" w:hAnsi="Arial;sans-serif"/>
                  <w:b w:val="false"/>
                  <w:color w:val="0000FF"/>
                  <w:sz w:val="19"/>
                  <w:u w:val="single"/>
                </w:rPr>
                <w:t>6</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aa8cb66ad41bcb8b74e1704a963fe_31">
              <w:r>
                <w:rPr>
                  <w:rStyle w:val="InternetLink"/>
                  <w:rFonts w:ascii="Arial;sans-serif" w:hAnsi="Arial;sans-serif"/>
                  <w:b w:val="false"/>
                  <w:color w:val="0000FF"/>
                  <w:sz w:val="19"/>
                  <w:u w:val="single"/>
                </w:rPr>
                <w:t>Notes to the Condensed Consolidated 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996aa8cb66ad41bcb8b74e1704a963fe_31">
              <w:r>
                <w:rPr>
                  <w:rStyle w:val="InternetLink"/>
                  <w:rFonts w:ascii="Arial;sans-serif" w:hAnsi="Arial;sans-serif"/>
                  <w:b w:val="false"/>
                  <w:color w:val="0000FF"/>
                  <w:sz w:val="19"/>
                  <w:u w:val="single"/>
                </w:rPr>
                <w:t>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2.</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96aa8cb66ad41bcb8b74e1704a963fe_73">
              <w:r>
                <w:rPr>
                  <w:rStyle w:val="InternetLink"/>
                  <w:rFonts w:ascii="Arial;sans-serif" w:hAnsi="Arial;sans-serif"/>
                  <w:b w:val="false"/>
                  <w:color w:val="0000FF"/>
                  <w:sz w:val="19"/>
                  <w:u w:val="single"/>
                </w:rPr>
                <w:t>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6aa8cb66ad41bcb8b74e1704a963fe_73">
              <w:r>
                <w:rPr>
                  <w:rStyle w:val="InternetLink"/>
                  <w:rFonts w:ascii="Arial;sans-serif" w:hAnsi="Arial;sans-serif"/>
                  <w:b w:val="false"/>
                  <w:color w:val="0000FF"/>
                  <w:sz w:val="19"/>
                  <w:u w:val="single"/>
                </w:rPr>
                <w:t>23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3.</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aa8cb66ad41bcb8b74e1704a963fe_76">
              <w:r>
                <w:rPr>
                  <w:rStyle w:val="InternetLink"/>
                  <w:rFonts w:ascii="Arial;sans-serif" w:hAnsi="Arial;sans-serif"/>
                  <w:b w:val="false"/>
                  <w:color w:val="0000FF"/>
                  <w:sz w:val="19"/>
                  <w:u w:val="single"/>
                </w:rPr>
                <w:t>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6aa8cb66ad41bcb8b74e1704a963fe_76">
              <w:r>
                <w:rPr>
                  <w:rStyle w:val="InternetLink"/>
                  <w:rFonts w:ascii="Arial;sans-serif" w:hAnsi="Arial;sans-serif"/>
                  <w:b w:val="false"/>
                  <w:color w:val="0000FF"/>
                  <w:sz w:val="19"/>
                  <w:u w:val="single"/>
                </w:rPr>
                <w:t>37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4.</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aa8cb66ad41bcb8b74e1704a963fe_79">
              <w:r>
                <w:rPr>
                  <w:rStyle w:val="InternetLink"/>
                  <w:rFonts w:ascii="Arial;sans-serif" w:hAnsi="Arial;sans-serif"/>
                  <w:b w:val="false"/>
                  <w:color w:val="0000FF"/>
                  <w:sz w:val="19"/>
                  <w:u w:val="single"/>
                </w:rPr>
                <w:t>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6aa8cb66ad41bcb8b74e1704a963fe_79">
              <w:r>
                <w:rPr>
                  <w:rStyle w:val="InternetLink"/>
                  <w:rFonts w:ascii="Arial;sans-serif" w:hAnsi="Arial;sans-serif"/>
                  <w:b w:val="false"/>
                  <w:color w:val="0000FF"/>
                  <w:sz w:val="19"/>
                  <w:u w:val="single"/>
                </w:rPr>
                <w:t>38</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PART II.</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aa8cb66ad41bcb8b74e1704a963fe_82">
              <w:r>
                <w:rPr>
                  <w:rStyle w:val="InternetLink"/>
                  <w:rFonts w:ascii="Arial;sans-serif" w:hAnsi="Arial;sans-serif"/>
                  <w:b w:val="false"/>
                  <w:color w:val="0000FF"/>
                  <w:sz w:val="19"/>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6aa8cb66ad41bcb8b74e1704a963fe_82">
              <w:r>
                <w:rPr>
                  <w:rStyle w:val="InternetLink"/>
                  <w:rFonts w:ascii="Arial;sans-serif" w:hAnsi="Arial;sans-serif"/>
                  <w:b w:val="false"/>
                  <w:color w:val="0000FF"/>
                  <w:sz w:val="19"/>
                  <w:u w:val="single"/>
                </w:rPr>
                <w:t>39</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aa8cb66ad41bcb8b74e1704a963fe_85">
              <w:r>
                <w:rPr>
                  <w:rStyle w:val="InternetLink"/>
                  <w:rFonts w:ascii="Arial;sans-serif" w:hAnsi="Arial;sans-serif"/>
                  <w:b w:val="false"/>
                  <w:color w:val="0000FF"/>
                  <w:sz w:val="19"/>
                  <w:u w:val="singl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996aa8cb66ad41bcb8b74e1704a963fe_85">
              <w:r>
                <w:rPr>
                  <w:rStyle w:val="InternetLink"/>
                  <w:rFonts w:ascii="Arial;sans-serif" w:hAnsi="Arial;sans-serif"/>
                  <w:b w:val="false"/>
                  <w:color w:val="0000FF"/>
                  <w:sz w:val="19"/>
                  <w:u w:val="single"/>
                </w:rPr>
                <w:t>39</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1A.</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aa8cb66ad41bcb8b74e1704a963fe_88">
              <w:r>
                <w:rPr>
                  <w:rStyle w:val="InternetLink"/>
                  <w:rFonts w:ascii="Arial;sans-serif" w:hAnsi="Arial;sans-serif"/>
                  <w:b w:val="false"/>
                  <w:color w:val="0000FF"/>
                  <w:sz w:val="19"/>
                  <w:u w:val="single"/>
                </w:rPr>
                <w:t>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6aa8cb66ad41bcb8b74e1704a963fe_88">
              <w:r>
                <w:rPr>
                  <w:rStyle w:val="InternetLink"/>
                  <w:rFonts w:ascii="Arial;sans-serif" w:hAnsi="Arial;sans-serif"/>
                  <w:b w:val="false"/>
                  <w:color w:val="0000FF"/>
                  <w:sz w:val="19"/>
                  <w:u w:val="single"/>
                </w:rPr>
                <w:t>39</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2.</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aa8cb66ad41bcb8b74e1704a963fe_91">
              <w:r>
                <w:rPr>
                  <w:rStyle w:val="InternetLink"/>
                  <w:rFonts w:ascii="Arial;sans-serif" w:hAnsi="Arial;sans-serif"/>
                  <w:b w:val="false"/>
                  <w:color w:val="0000FF"/>
                  <w:sz w:val="19"/>
                  <w:u w:val="single"/>
                </w:rPr>
                <w:t>Unregistered Sales of Equity Securities and Use of Proceeds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6aa8cb66ad41bcb8b74e1704a963fe_91">
              <w:r>
                <w:rPr>
                  <w:rStyle w:val="InternetLink"/>
                  <w:rFonts w:ascii="Arial;sans-serif" w:hAnsi="Arial;sans-serif"/>
                  <w:b w:val="false"/>
                  <w:color w:val="0000FF"/>
                  <w:sz w:val="19"/>
                  <w:u w:val="single"/>
                </w:rPr>
                <w:t>70</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3.</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aa8cb66ad41bcb8b74e1704a963fe_94">
              <w:r>
                <w:rPr>
                  <w:rStyle w:val="InternetLink"/>
                  <w:rFonts w:ascii="Arial;sans-serif" w:hAnsi="Arial;sans-serif"/>
                  <w:b w:val="false"/>
                  <w:color w:val="0000FF"/>
                  <w:sz w:val="19"/>
                  <w:u w:val="single"/>
                </w:rPr>
                <w:t>Defaults Upon Senior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6aa8cb66ad41bcb8b74e1704a963fe_94">
              <w:r>
                <w:rPr>
                  <w:rStyle w:val="InternetLink"/>
                  <w:rFonts w:ascii="Arial;sans-serif" w:hAnsi="Arial;sans-serif"/>
                  <w:b w:val="false"/>
                  <w:color w:val="0000FF"/>
                  <w:sz w:val="19"/>
                  <w:u w:val="single"/>
                </w:rPr>
                <w:t>71</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Item 4. </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aa8cb66ad41bcb8b74e1704a963fe_97">
              <w:r>
                <w:rPr>
                  <w:rStyle w:val="InternetLink"/>
                  <w:rFonts w:ascii="Arial;sans-serif" w:hAnsi="Arial;sans-serif"/>
                  <w:b w:val="false"/>
                  <w:color w:val="0000FF"/>
                  <w:sz w:val="19"/>
                  <w:u w:val="single"/>
                </w:rPr>
                <w:t>Mine Safety Disclosures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6aa8cb66ad41bcb8b74e1704a963fe_97">
              <w:r>
                <w:rPr>
                  <w:rStyle w:val="InternetLink"/>
                  <w:rFonts w:ascii="Arial;sans-serif" w:hAnsi="Arial;sans-serif"/>
                  <w:b w:val="false"/>
                  <w:color w:val="0000FF"/>
                  <w:sz w:val="19"/>
                  <w:u w:val="single"/>
                </w:rPr>
                <w:t>71</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5.</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aa8cb66ad41bcb8b74e1704a963fe_100">
              <w:r>
                <w:rPr>
                  <w:rStyle w:val="InternetLink"/>
                  <w:rFonts w:ascii="Arial;sans-serif" w:hAnsi="Arial;sans-serif"/>
                  <w:b w:val="false"/>
                  <w:color w:val="0000FF"/>
                  <w:sz w:val="19"/>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6aa8cb66ad41bcb8b74e1704a963fe_100">
              <w:r>
                <w:rPr>
                  <w:rStyle w:val="InternetLink"/>
                  <w:rFonts w:ascii="Arial;sans-serif" w:hAnsi="Arial;sans-serif"/>
                  <w:b w:val="false"/>
                  <w:color w:val="0000FF"/>
                  <w:sz w:val="19"/>
                  <w:u w:val="single"/>
                </w:rPr>
                <w:t>71</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Item 6. </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aa8cb66ad41bcb8b74e1704a963fe_103">
              <w:r>
                <w:rPr>
                  <w:rStyle w:val="InternetLink"/>
                  <w:rFonts w:ascii="Arial;sans-serif" w:hAnsi="Arial;sans-serif"/>
                  <w:b w:val="false"/>
                  <w:color w:val="0000FF"/>
                  <w:sz w:val="19"/>
                  <w:u w:val="single"/>
                </w:rPr>
                <w:t>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6aa8cb66ad41bcb8b74e1704a963fe_103">
              <w:r>
                <w:rPr>
                  <w:rStyle w:val="InternetLink"/>
                  <w:rFonts w:ascii="Arial;sans-serif" w:hAnsi="Arial;sans-serif"/>
                  <w:b w:val="false"/>
                  <w:color w:val="0000FF"/>
                  <w:sz w:val="19"/>
                  <w:u w:val="single"/>
                </w:rPr>
                <w:t>72</w:t>
              </w:r>
            </w:hyperlink>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pPr>
      <w:hyperlink w:anchor="i996aa8cb66ad41bcb8b74e1704a963fe_106">
        <w:r>
          <w:rPr>
            <w:rStyle w:val="InternetLink"/>
            <w:rFonts w:ascii="Arial;sans-serif" w:hAnsi="Arial;sans-serif"/>
            <w:b w:val="false"/>
            <w:color w:val="0000FF"/>
            <w:sz w:val="19"/>
            <w:u w:val="single"/>
          </w:rPr>
          <w:t>SIGNATURES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center"/>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BALANCE SHEETS</w:t>
      </w:r>
    </w:p>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(Unaudited, 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2932"/>
        <w:gridCol w:w="2248"/>
        <w:gridCol w:w="2247"/>
        <w:gridCol w:w="207"/>
        <w:gridCol w:w="780"/>
        <w:gridCol w:w="115"/>
        <w:gridCol w:w="109"/>
        <w:gridCol w:w="109"/>
        <w:gridCol w:w="109"/>
        <w:gridCol w:w="243"/>
        <w:gridCol w:w="913"/>
        <w:gridCol w:w="193"/>
      </w:tblGrid>
      <w:tr>
        <w:trPr/>
        <w:tc>
          <w:tcPr>
            <w:tcW w:w="2932"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19,606 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marketable securities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63,071 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 net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107,280 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assets:</w:t>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marketable securities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net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portion of contract assets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non-current assets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45,502 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35,065 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127,629 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142,345 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AND STOCKHOLDERS' EQUITY</w:t>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income taxes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 current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obligation, current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38,610 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34,488 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liabilities:</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 non-current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obligation, non-current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48,041 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42,262 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11)</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Preferred stock, $0.0001 par value; 10,000,000 shares authorized, no shares issued and outstanding as of June 30, 2025 and December 31, 2024</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Common stock, $0.0001 par value; 500,000,000 shares authorized; 29,603,494 and 28,526,615 shares issued and outstanding as of June 30, 2025 and December 31, 2024, respectively</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137,572 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130,360 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(56,694)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(28,012)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79,588 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100,083 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127,629 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142,345 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8430"/>
                <wp:effectExtent l="0" t="0" r="0" b="0"/>
                <wp:wrapNone/>
                <wp:docPr id="3" name="Frame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OPERATIONS</w:t>
      </w:r>
    </w:p>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(Unaudited,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714"/>
        <w:gridCol w:w="1364"/>
        <w:gridCol w:w="1367"/>
        <w:gridCol w:w="232"/>
        <w:gridCol w:w="712"/>
        <w:gridCol w:w="122"/>
        <w:gridCol w:w="109"/>
        <w:gridCol w:w="109"/>
        <w:gridCol w:w="109"/>
        <w:gridCol w:w="211"/>
        <w:gridCol w:w="793"/>
        <w:gridCol w:w="109"/>
        <w:gridCol w:w="109"/>
        <w:gridCol w:w="109"/>
        <w:gridCol w:w="109"/>
        <w:gridCol w:w="211"/>
        <w:gridCol w:w="793"/>
        <w:gridCol w:w="109"/>
        <w:gridCol w:w="109"/>
        <w:gridCol w:w="109"/>
        <w:gridCol w:w="109"/>
        <w:gridCol w:w="211"/>
        <w:gridCol w:w="793"/>
        <w:gridCol w:w="109"/>
        <w:gridCol w:w="109"/>
        <w:gridCol w:w="109"/>
        <w:gridCol w:w="156"/>
      </w:tblGrid>
      <w:tr>
        <w:trPr/>
        <w:tc>
          <w:tcPr>
            <w:tcW w:w="171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Software license revenue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Maintenance and service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w:t>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12,048 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Gross profit</w:t>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8,544 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expenses:</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Selling and marketing</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Litigation settlement</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operating expenses</w:t>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18,687 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loss</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(10,143)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(37,789)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 on debt extinguishment</w:t>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and other expense, net</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 before income tax provision</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(9,935)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(38,174)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(28,995)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(35,991)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(benefit) provision</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(9,409)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 per share:</w:t>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and diluted</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(0.32)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 average shares used in computing per share amounts:</w:t>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and diluted</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29,312,982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24,811,112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29,005,331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22,405,557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8430"/>
                <wp:effectExtent l="0" t="0" r="0" b="0"/>
                <wp:wrapNone/>
                <wp:docPr id="4" name="Frame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COMPREHENSIVE LOSS</w:t>
      </w:r>
    </w:p>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(Unaudited, in thousands)</w:t>
      </w:r>
    </w:p>
    <w:tbl>
      <w:tblPr>
        <w:tblW w:w="9540" w:type="dxa"/>
        <w:jc w:val="left"/>
        <w:tblInd w:w="0" w:type="dxa"/>
        <w:tblLayout w:type="fixed"/>
        <w:tblCellMar>
          <w:top w:w="28" w:type="dxa"/>
          <w:left w:w="28" w:type="dxa"/>
          <w:bottom w:w="28" w:type="dxa"/>
          <w:right w:w="28" w:type="dxa"/>
        </w:tblCellMar>
      </w:tblPr>
      <w:tblGrid>
        <w:gridCol w:w="1323"/>
        <w:gridCol w:w="1163"/>
        <w:gridCol w:w="1173"/>
        <w:gridCol w:w="211"/>
        <w:gridCol w:w="706"/>
        <w:gridCol w:w="109"/>
        <w:gridCol w:w="109"/>
        <w:gridCol w:w="109"/>
        <w:gridCol w:w="109"/>
        <w:gridCol w:w="211"/>
        <w:gridCol w:w="811"/>
        <w:gridCol w:w="109"/>
        <w:gridCol w:w="109"/>
        <w:gridCol w:w="109"/>
        <w:gridCol w:w="109"/>
        <w:gridCol w:w="211"/>
        <w:gridCol w:w="811"/>
        <w:gridCol w:w="109"/>
        <w:gridCol w:w="109"/>
        <w:gridCol w:w="109"/>
        <w:gridCol w:w="109"/>
        <w:gridCol w:w="211"/>
        <w:gridCol w:w="811"/>
        <w:gridCol w:w="109"/>
        <w:gridCol w:w="109"/>
        <w:gridCol w:w="109"/>
        <w:gridCol w:w="109"/>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 (loss):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Foreign currency translation adjustments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Unrealized loss on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(38,587)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8430"/>
                <wp:effectExtent l="0" t="0" r="0" b="0"/>
                <wp:wrapNone/>
                <wp:docPr id="5" name="Frame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3</w:t>
                      </w:r>
                    </w:p>
                  </w:txbxContent>
                </v:textbox>
                <w10:wrap type="none"/>
              </v:rect>
            </w:pict>
          </mc:Fallback>
        </mc:AlternateContent>
      </w:r>
    </w:p>
    <w:p>
      <w:pPr>
        <w:pStyle w:val="TextBody"/>
        <w:bidi w:val="0"/>
        <w:spacing w:before="0" w:after="190"/>
        <w:jc w:val="both"/>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STOCKHOLDERS' EQUITY</w:t>
      </w:r>
    </w:p>
    <w:p>
      <w:pPr>
        <w:pStyle w:val="TextBody"/>
        <w:bidi w:val="0"/>
        <w:spacing w:lineRule="auto" w:line="288" w:before="0" w:after="480"/>
        <w:jc w:val="center"/>
        <w:rPr>
          <w:rFonts w:ascii="Arial;sans-serif" w:hAnsi="Arial;sans-serif"/>
          <w:b w:val="false"/>
          <w:i/>
          <w:color w:val="000000"/>
          <w:sz w:val="19"/>
        </w:rPr>
      </w:pPr>
      <w:r>
        <w:rPr>
          <w:rFonts w:ascii="Arial;sans-serif" w:hAnsi="Arial;sans-serif"/>
          <w:b w:val="false"/>
          <w:i/>
          <w:color w:val="000000"/>
          <w:sz w:val="19"/>
        </w:rPr>
        <w:t>(Unaudited, in thousands except share amounts)</w:t>
      </w:r>
    </w:p>
    <w:tbl>
      <w:tblPr>
        <w:tblW w:w="10205" w:type="dxa"/>
        <w:jc w:val="center"/>
        <w:tblInd w:w="0" w:type="dxa"/>
        <w:tblLayout w:type="fixed"/>
        <w:tblCellMar>
          <w:top w:w="28" w:type="dxa"/>
          <w:left w:w="28" w:type="dxa"/>
          <w:bottom w:w="28" w:type="dxa"/>
          <w:right w:w="28" w:type="dxa"/>
        </w:tblCellMar>
      </w:tblPr>
      <w:tblGrid>
        <w:gridCol w:w="878"/>
        <w:gridCol w:w="284"/>
        <w:gridCol w:w="285"/>
        <w:gridCol w:w="510"/>
        <w:gridCol w:w="511"/>
        <w:gridCol w:w="358"/>
        <w:gridCol w:w="109"/>
        <w:gridCol w:w="109"/>
        <w:gridCol w:w="109"/>
        <w:gridCol w:w="268"/>
        <w:gridCol w:w="344"/>
        <w:gridCol w:w="139"/>
        <w:gridCol w:w="109"/>
        <w:gridCol w:w="109"/>
        <w:gridCol w:w="109"/>
        <w:gridCol w:w="211"/>
        <w:gridCol w:w="856"/>
        <w:gridCol w:w="109"/>
        <w:gridCol w:w="109"/>
        <w:gridCol w:w="109"/>
        <w:gridCol w:w="109"/>
        <w:gridCol w:w="287"/>
        <w:gridCol w:w="810"/>
        <w:gridCol w:w="119"/>
        <w:gridCol w:w="109"/>
        <w:gridCol w:w="109"/>
        <w:gridCol w:w="109"/>
        <w:gridCol w:w="295"/>
        <w:gridCol w:w="903"/>
        <w:gridCol w:w="153"/>
        <w:gridCol w:w="109"/>
        <w:gridCol w:w="109"/>
        <w:gridCol w:w="109"/>
        <w:gridCol w:w="215"/>
        <w:gridCol w:w="873"/>
        <w:gridCol w:w="162"/>
      </w:tblGrid>
      <w:tr>
        <w:trPr/>
        <w:tc>
          <w:tcPr>
            <w:tcW w:w="8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5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March 31, 2025</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28,805,280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(47,285)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83,593 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common stock in a business combination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457,666 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common stock for share-based award plans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416,498 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 withholding on restricted stock unit settlements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(75,950)</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(9,409)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(9,409)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June 30, 2025</w:t>
            </w:r>
          </w:p>
        </w:tc>
        <w:tc>
          <w:tcPr>
            <w:tcW w:w="13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29,603,494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(56,694)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79,588 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2024</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 (Accumulated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5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March 31, 2024</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12,770 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10,595 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Issuance of common stock in connection with initial public offering, net of underwriting fees and commissions and net of deferred transaction costs of $3,298</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6,000,000 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102,722 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Conversion of Micron Note into common stock</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294,217 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21,527 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loss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(38,388)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(38,388)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June 30, 2024</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26,294,217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(25,618)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(2,376)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101,846 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8430"/>
                <wp:effectExtent l="0" t="0" r="0" b="0"/>
                <wp:wrapNone/>
                <wp:docPr id="6" name="Frame6"/>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4</w:t>
                      </w:r>
                    </w:p>
                  </w:txbxContent>
                </v:textbox>
                <w10:wrap type="none"/>
              </v:rect>
            </w:pict>
          </mc:Fallback>
        </mc:AlternateContent>
      </w:r>
    </w:p>
    <w:p>
      <w:pPr>
        <w:pStyle w:val="TextBody"/>
        <w:bidi w:val="0"/>
        <w:spacing w:before="0" w:after="190"/>
        <w:jc w:val="both"/>
        <w:rPr/>
      </w:pPr>
      <w:r>
        <w:rPr/>
      </w:r>
    </w:p>
    <w:p>
      <w:pPr>
        <w:pStyle w:val="TextBody"/>
        <w:bidi w:val="0"/>
        <w:spacing w:before="0" w:after="19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STOCKHOLDERS' EQUITY</w:t>
      </w:r>
    </w:p>
    <w:p>
      <w:pPr>
        <w:pStyle w:val="TextBody"/>
        <w:bidi w:val="0"/>
        <w:spacing w:lineRule="auto" w:line="288" w:before="0" w:after="480"/>
        <w:jc w:val="center"/>
        <w:rPr>
          <w:rFonts w:ascii="Arial;sans-serif" w:hAnsi="Arial;sans-serif"/>
          <w:b w:val="false"/>
          <w:i/>
          <w:color w:val="000000"/>
          <w:sz w:val="19"/>
        </w:rPr>
      </w:pPr>
      <w:r>
        <w:rPr>
          <w:rFonts w:ascii="Arial;sans-serif" w:hAnsi="Arial;sans-serif"/>
          <w:b w:val="false"/>
          <w:i/>
          <w:color w:val="000000"/>
          <w:sz w:val="19"/>
        </w:rPr>
        <w:t>(Unaudited, in thousands except share amounts)</w:t>
      </w:r>
    </w:p>
    <w:tbl>
      <w:tblPr>
        <w:tblW w:w="10205" w:type="dxa"/>
        <w:jc w:val="center"/>
        <w:tblInd w:w="0" w:type="dxa"/>
        <w:tblLayout w:type="fixed"/>
        <w:tblCellMar>
          <w:top w:w="28" w:type="dxa"/>
          <w:left w:w="28" w:type="dxa"/>
          <w:bottom w:w="28" w:type="dxa"/>
          <w:right w:w="28" w:type="dxa"/>
        </w:tblCellMar>
      </w:tblPr>
      <w:tblGrid>
        <w:gridCol w:w="878"/>
        <w:gridCol w:w="284"/>
        <w:gridCol w:w="285"/>
        <w:gridCol w:w="510"/>
        <w:gridCol w:w="511"/>
        <w:gridCol w:w="358"/>
        <w:gridCol w:w="109"/>
        <w:gridCol w:w="109"/>
        <w:gridCol w:w="109"/>
        <w:gridCol w:w="268"/>
        <w:gridCol w:w="344"/>
        <w:gridCol w:w="139"/>
        <w:gridCol w:w="109"/>
        <w:gridCol w:w="109"/>
        <w:gridCol w:w="109"/>
        <w:gridCol w:w="211"/>
        <w:gridCol w:w="856"/>
        <w:gridCol w:w="109"/>
        <w:gridCol w:w="109"/>
        <w:gridCol w:w="109"/>
        <w:gridCol w:w="109"/>
        <w:gridCol w:w="287"/>
        <w:gridCol w:w="810"/>
        <w:gridCol w:w="119"/>
        <w:gridCol w:w="109"/>
        <w:gridCol w:w="109"/>
        <w:gridCol w:w="109"/>
        <w:gridCol w:w="295"/>
        <w:gridCol w:w="903"/>
        <w:gridCol w:w="153"/>
        <w:gridCol w:w="109"/>
        <w:gridCol w:w="109"/>
        <w:gridCol w:w="109"/>
        <w:gridCol w:w="215"/>
        <w:gridCol w:w="873"/>
        <w:gridCol w:w="162"/>
      </w:tblGrid>
      <w:tr>
        <w:trPr/>
        <w:tc>
          <w:tcPr>
            <w:tcW w:w="8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5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December 31, 2024</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28,526,615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(28,012)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(2,268)</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100,083 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common stock in a business combination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457,666 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common stock for share-based award plans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748,942 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 withholding on restricted stock unit settlements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(129,729)</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(28,682)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(28,682)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June 30, 2025</w:t>
            </w:r>
          </w:p>
        </w:tc>
        <w:tc>
          <w:tcPr>
            <w:tcW w:w="13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29,603,494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(56,694)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79,588 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2024</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 (Accumulated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5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December 31, 2023</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11,392 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9,402 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Issuance of common stock in connection with initial public offering, net of underwriting fees and commissions and net of deferred transaction costs of $3,298</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6,000,000 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102,722 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Conversion of Micron Note into common stock</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294,217 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21,527 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loss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(37,010)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(37,010)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June 30, 2024</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26,294,217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(25,618)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(2,376)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101,846 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8430"/>
                <wp:effectExtent l="0" t="0" r="0" b="0"/>
                <wp:wrapNone/>
                <wp:docPr id="7" name="Frame7"/>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5</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CASH FLOWS</w:t>
      </w:r>
    </w:p>
    <w:p>
      <w:pPr>
        <w:pStyle w:val="TextBody"/>
        <w:bidi w:val="0"/>
        <w:spacing w:lineRule="auto" w:line="288" w:before="0" w:after="190"/>
        <w:jc w:val="center"/>
        <w:rPr>
          <w:rFonts w:ascii="Arial;sans-serif" w:hAnsi="Arial;sans-serif"/>
          <w:b w:val="false"/>
          <w:i/>
          <w:color w:val="000000"/>
          <w:sz w:val="18"/>
        </w:rPr>
      </w:pPr>
      <w:r>
        <w:rPr>
          <w:rFonts w:ascii="Arial;sans-serif" w:hAnsi="Arial;sans-serif"/>
          <w:b w:val="false"/>
          <w:i/>
          <w:color w:val="000000"/>
          <w:sz w:val="18"/>
        </w:rPr>
        <w:t>(Unaudited, in thousands)</w:t>
      </w:r>
    </w:p>
    <w:tbl>
      <w:tblPr>
        <w:tblW w:w="9265" w:type="dxa"/>
        <w:jc w:val="left"/>
        <w:tblInd w:w="0" w:type="dxa"/>
        <w:tblLayout w:type="fixed"/>
        <w:tblCellMar>
          <w:top w:w="28" w:type="dxa"/>
          <w:left w:w="28" w:type="dxa"/>
          <w:bottom w:w="28" w:type="dxa"/>
          <w:right w:w="28" w:type="dxa"/>
        </w:tblCellMar>
      </w:tblPr>
      <w:tblGrid>
        <w:gridCol w:w="2318"/>
        <w:gridCol w:w="2035"/>
        <w:gridCol w:w="2052"/>
        <w:gridCol w:w="196"/>
        <w:gridCol w:w="721"/>
        <w:gridCol w:w="109"/>
        <w:gridCol w:w="109"/>
        <w:gridCol w:w="109"/>
        <w:gridCol w:w="109"/>
        <w:gridCol w:w="196"/>
        <w:gridCol w:w="721"/>
        <w:gridCol w:w="109"/>
        <w:gridCol w:w="109"/>
        <w:gridCol w:w="109"/>
        <w:gridCol w:w="109"/>
        <w:gridCol w:w="154"/>
      </w:tblGrid>
      <w:tr>
        <w:trPr/>
        <w:tc>
          <w:tcPr>
            <w:tcW w:w="2318"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(used in)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debt extinguishment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of discount on marketable securities,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contingent consideration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Related party funding of litigation apportionment agreement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income taxes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of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Maturities of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businesses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bookmarkStart w:id="0" w:name="i7d0558f6eda3430b8cb6e43267aa5bea_27-0-1"/>
            <w:bookmarkEnd w:id="0"/>
            <w:r>
              <w:rPr>
                <w:rFonts w:ascii="Arial;sans-serif" w:hAnsi="Arial;sans-serif"/>
                <w:b w:val="false"/>
                <w:color w:val="000000"/>
                <w:sz w:val="16"/>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initial public offering, net of underwriting fees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convertible note, net of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loan facility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loan facility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related party line of credit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transaction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common stock for share-based awards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payroll taxes related to shares withheld from employees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consideration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vendor financing obligation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fluctuations on cash and cash equivalents and restricted cash</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in cash and cash equivalents and restricted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and restricted cash,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and restricted cash:</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and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8430"/>
                <wp:effectExtent l="0" t="0" r="0" b="0"/>
                <wp:wrapNone/>
                <wp:docPr id="8" name="Frame8"/>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6</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CONDENSED CONSOLIDATED FINANCIAL STATEMENTS</w:t>
      </w:r>
    </w:p>
    <w:p>
      <w:pPr>
        <w:pStyle w:val="TextBody"/>
        <w:bidi w:val="0"/>
        <w:spacing w:lineRule="auto" w:line="288" w:before="0" w:after="190"/>
        <w:jc w:val="center"/>
        <w:rPr>
          <w:rFonts w:ascii="Arial;sans-serif" w:hAnsi="Arial;sans-serif"/>
          <w:b/>
          <w:color w:val="000000"/>
          <w:sz w:val="19"/>
        </w:rPr>
      </w:pPr>
      <w:r>
        <w:rPr>
          <w:rFonts w:ascii="Arial;sans-serif" w:hAnsi="Arial;sans-serif"/>
          <w:b/>
          <w:color w:val="000000"/>
          <w:sz w:val="19"/>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1. Description of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Silvaco Group, Inc. (“Silvaco,” and the “Company” refers to Silvaco Group Inc. and its subsidiaries, unless the context specifically requires otherwise) was incorporated as a Delaware corporation on November 18, 2009. The Company is a provider of technology computer aided design (“TCAD”) software, electronic data automation (“EDA”) software and semiconductor intellectual property (“SIP”). TCAD, EDA and SIP solutions enable semiconductor and photonics companies to increase productivity, accelerate their products’ time-to-market and reduce their development and manufacturing costs. The Company has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The Company provides SIP for system-on-a-chip (“SoC”), integrated circuits (“ICs”) and SIP management tools to enable team collaborations on complex SoC designs. The Company’s customers include semiconductor manufacturers, original equipment manufacturers (“OEMs”) and design teams who deploy the Company’s solutions in production flows across the Company’s target markets, including display, power devices, automotive, memory, high performance computing (“HPC”), internet of things (“IoT”) and 5G/6G mobile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2. Summary of Significant Accounting and Reporting Policies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Basis of presentation and consolidation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accompanying condensed consolidated financial statements have been prepared in accordance with U.S. Generally Accepted Accounting Principles ("GAAP") and include the accounts of Silvaco and all of the Company's wholly owned subsidiaries with operations in North America, Europe, Asia and South America. All intercompany transactions and balances have been eliminated upon consolidation.</w:t>
      </w:r>
    </w:p>
    <w:p>
      <w:pPr>
        <w:pStyle w:val="TextBody"/>
        <w:bidi w:val="0"/>
        <w:spacing w:lineRule="auto" w:line="288" w:before="0" w:after="190"/>
        <w:jc w:val="both"/>
        <w:rPr/>
      </w:pPr>
      <w:r>
        <w:rPr>
          <w:rFonts w:ascii="Arial;sans-serif" w:hAnsi="Arial;sans-serif"/>
          <w:b w:val="false"/>
          <w:color w:val="000000"/>
          <w:sz w:val="19"/>
        </w:rPr>
        <w:t xml:space="preserve">The condensed consolidated financial statements as of June 30, 2025 and for the three and six months ended June 30, 2025 and 2024 are unaudited. Certain information and footnote disclosures normally included in annual financial statements prepared in accordance with GAAP have been omitted from these condensed consolidated financial statements, as permitted by Securities and Exchange Commission (“SEC”) rules and regulations. Accordingly, these condensed consolidated financial statements should be read in conjunction with the Company’s audited consolidated financial statements for the year ended December 31, 2024 and the related notes thereto included in the Company’s Annual Report on Form 10-K filed with the SEC on March 5, 2025. </w:t>
      </w:r>
      <w:r>
        <w:rPr>
          <w:rFonts w:ascii="Arial;sans-serif" w:hAnsi="Arial;sans-serif"/>
          <w:b w:val="false"/>
          <w:color w:val="000000"/>
          <w:sz w:val="19"/>
          <w:shd w:fill="FFFFFF" w:val="clear"/>
        </w:rPr>
        <w:t xml:space="preserve">The condensed consolidated balance sheet as of December 31, 2024 was derived from the audited consolidated financial statements as of that date. In management’s opinion, the condensed consolidated financial statements have been prepared on the same basis as the annual financial statements and reflect all adjustments, which include only normal recurring adjustments necessary for the fair statement of the condensed consolidated financial statements.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results of operations for the three and six months ended June 30, 2025 are not necessarily indicative of the Company’s operating results to be expected for the full fiscal year or any other future interim or annual period.</w:t>
      </w:r>
    </w:p>
    <w:p>
      <w:pPr>
        <w:pStyle w:val="TextBody"/>
        <w:bidi w:val="0"/>
        <w:spacing w:lineRule="auto" w:line="288" w:before="80" w:after="40"/>
        <w:jc w:val="left"/>
        <w:rPr>
          <w:rFonts w:ascii="Arial;sans-serif" w:hAnsi="Arial;sans-serif"/>
          <w:b/>
          <w:i/>
          <w:color w:val="000000"/>
          <w:sz w:val="19"/>
        </w:rPr>
      </w:pPr>
      <w:r>
        <w:rPr>
          <w:rFonts w:ascii="Arial;sans-serif" w:hAnsi="Arial;sans-serif"/>
          <w:b/>
          <w:i/>
          <w:color w:val="000000"/>
          <w:sz w:val="19"/>
        </w:rPr>
        <w:t>Emerging growth company status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8430"/>
                <wp:effectExtent l="0" t="0" r="0" b="0"/>
                <wp:wrapNone/>
                <wp:docPr id="9" name="Frame9"/>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7</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preparation of financial statements in conformity with GAAP requires management to make estimates and assumptions that affect the reported amounts of assets and liabilities and disclosure of contingent assets and liabilities at the date of the financial statements. Estimates also affect the amounts of revenue and expenses during the reported periods. The Company’s most significant estimates relate to revenue recognition. Other estimates include, but are not limited to, accounts receivable allowances, stock-based compensation expense, valuation of goodwill and other intangible assets, contingent consideration, derivative valuations, uncertain tax positions, legal contingencies and income taxes. Actual results could differ from those estimates.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Concentrations of credit risk</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Accounts receivable from customers representing 10% or more of the Company’s total accounts receivable were as follows:</w:t>
      </w:r>
    </w:p>
    <w:tbl>
      <w:tblPr>
        <w:tblW w:w="3461" w:type="dxa"/>
        <w:jc w:val="left"/>
        <w:tblInd w:w="0" w:type="dxa"/>
        <w:tblLayout w:type="fixed"/>
        <w:tblCellMar>
          <w:top w:w="28" w:type="dxa"/>
          <w:left w:w="28" w:type="dxa"/>
          <w:bottom w:w="28" w:type="dxa"/>
          <w:right w:w="28" w:type="dxa"/>
        </w:tblCellMar>
      </w:tblPr>
      <w:tblGrid>
        <w:gridCol w:w="418"/>
        <w:gridCol w:w="368"/>
        <w:gridCol w:w="369"/>
        <w:gridCol w:w="254"/>
        <w:gridCol w:w="254"/>
        <w:gridCol w:w="256"/>
        <w:gridCol w:w="109"/>
        <w:gridCol w:w="109"/>
        <w:gridCol w:w="109"/>
        <w:gridCol w:w="356"/>
        <w:gridCol w:w="356"/>
        <w:gridCol w:w="503"/>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2024</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A</w:t>
            </w:r>
          </w:p>
        </w:tc>
        <w:tc>
          <w:tcPr>
            <w:tcW w:w="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9"/>
              </w:rPr>
            </w:pPr>
            <w:r>
              <w:rPr>
                <w:rFonts w:ascii="Arial;sans-serif" w:hAnsi="Arial;sans-serif"/>
                <w:b w:val="false"/>
                <w:color w:val="000000"/>
                <w:sz w:val="19"/>
              </w:rPr>
              <w:t>*</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B</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9"/>
              </w:rPr>
            </w:pPr>
            <w:r>
              <w:rPr>
                <w:rFonts w:ascii="Arial;sans-serif" w:hAnsi="Arial;sans-serif"/>
                <w:b w:val="false"/>
                <w:color w:val="000000"/>
                <w:sz w:val="19"/>
              </w:rPr>
              <w:t>*</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C</w:t>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9"/>
              </w:rPr>
            </w:pPr>
            <w:r>
              <w:rPr>
                <w:rFonts w:ascii="Arial;sans-serif" w:hAnsi="Arial;sans-serif"/>
                <w:b w:val="false"/>
                <w:color w:val="000000"/>
                <w:sz w:val="19"/>
              </w:rPr>
              <w:t>*</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D</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9"/>
              </w:rPr>
            </w:pPr>
            <w:r>
              <w:rPr>
                <w:rFonts w:ascii="Arial;sans-serif" w:hAnsi="Arial;sans-serif"/>
                <w:b w:val="false"/>
                <w:color w:val="000000"/>
                <w:sz w:val="19"/>
              </w:rPr>
              <w:t>21%</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E</w:t>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15%</w:t>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pPr>
      <w:r>
        <w:rPr>
          <w:rFonts w:ascii="Arial;sans-serif" w:hAnsi="Arial;sans-serif"/>
          <w:b w:val="false"/>
          <w:color w:val="000000"/>
          <w:sz w:val="16"/>
        </w:rPr>
        <w:t>* Customer accounted for less than 10% of total accounts receivable at period end.</w:t>
      </w:r>
      <w:r>
        <w:rPr>
          <w:color w:val="000000"/>
        </w:rPr>
        <w:t xml:space="preserv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Revenue from customers representing 10% or more of the Company’s total revenue was as follows:</w:t>
      </w:r>
    </w:p>
    <w:tbl>
      <w:tblPr>
        <w:tblW w:w="6227" w:type="dxa"/>
        <w:jc w:val="left"/>
        <w:tblInd w:w="0" w:type="dxa"/>
        <w:tblLayout w:type="fixed"/>
        <w:tblCellMar>
          <w:top w:w="28" w:type="dxa"/>
          <w:left w:w="28" w:type="dxa"/>
          <w:bottom w:w="28" w:type="dxa"/>
          <w:right w:w="28" w:type="dxa"/>
        </w:tblCellMar>
      </w:tblPr>
      <w:tblGrid>
        <w:gridCol w:w="418"/>
        <w:gridCol w:w="368"/>
        <w:gridCol w:w="369"/>
        <w:gridCol w:w="273"/>
        <w:gridCol w:w="273"/>
        <w:gridCol w:w="273"/>
        <w:gridCol w:w="273"/>
        <w:gridCol w:w="273"/>
        <w:gridCol w:w="273"/>
        <w:gridCol w:w="273"/>
        <w:gridCol w:w="273"/>
        <w:gridCol w:w="273"/>
        <w:gridCol w:w="109"/>
        <w:gridCol w:w="109"/>
        <w:gridCol w:w="109"/>
        <w:gridCol w:w="243"/>
        <w:gridCol w:w="243"/>
        <w:gridCol w:w="243"/>
        <w:gridCol w:w="243"/>
        <w:gridCol w:w="243"/>
        <w:gridCol w:w="243"/>
        <w:gridCol w:w="243"/>
        <w:gridCol w:w="243"/>
        <w:gridCol w:w="344"/>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2024</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B</w:t>
            </w:r>
          </w:p>
        </w:tc>
        <w:tc>
          <w:tcPr>
            <w:tcW w:w="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11%</w:t>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9"/>
              </w:rPr>
            </w:pPr>
            <w:r>
              <w:rPr>
                <w:rFonts w:ascii="Arial;sans-serif" w:hAnsi="Arial;sans-serif"/>
                <w:b w:val="false"/>
                <w:color w:val="000000"/>
                <w:sz w:val="19"/>
              </w:rPr>
              <w:t>*</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F</w:t>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19%</w:t>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Customer accounted for less than 10% of total revenue during the period.</w:t>
      </w:r>
      <w:r>
        <w:rPr>
          <w:color w:val="000000"/>
        </w:rPr>
        <w:t xml:space="preserve"> </w: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addition to the concentration of credit risk with respect to trade receivables and revenue, the Company's cash on deposit with financial institutions is also exposed to concentration risk. The Company's cash on deposit with financial institutions is insured through various public and private bank deposit insurance programs, foreign and domestic; however, a significant portion of cash balances held as of June 30, 2025 and December 31, 2024 exceeded insured limits.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of June 30, 2025, $19.3 million, or 65%, of the Company’s cash and cash equivalents and restricted cash was maintained with one financial institution, where the Company’s current deposits are in excess of federally insured limits, and $4.1 million, or 13.9%, was held by the Company’s foreign subsidiaries.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Restricted cash</w:t>
      </w:r>
    </w:p>
    <w:p>
      <w:pPr>
        <w:pStyle w:val="TextBody"/>
        <w:bidi w:val="0"/>
        <w:spacing w:lineRule="auto" w:line="288" w:before="0" w:after="190"/>
        <w:jc w:val="both"/>
        <w:rPr/>
      </w:pPr>
      <w:r>
        <w:rPr>
          <w:rFonts w:ascii="Arial;sans-serif" w:hAnsi="Arial;sans-serif"/>
          <w:b w:val="false"/>
          <w:color w:val="000000"/>
          <w:sz w:val="19"/>
        </w:rPr>
        <w:t xml:space="preserve">As of June 30, 2025, the Company held restricted cash of $16.5 million to secure an irrevocable standby letter of credit issued in connection with a litigation settlement entered into in May 2025 (the “Settlement Agreement”) with the former shareholders of Nangate, Inc. (“Nangate”) and a third cross-complainant (together, the “Nangate Parties”). Of the remaining $16.5 million due under the Settlement Agreement, the Company is obligated to pay $14.4 million. See </w:t>
      </w:r>
      <w:hyperlink w:anchor="i996aa8cb66ad41bcb8b74e1704a963fe_49">
        <w:r>
          <w:rPr>
            <w:rStyle w:val="InternetLink"/>
            <w:rFonts w:ascii="Arial;sans-serif" w:hAnsi="Arial;sans-serif"/>
            <w:b w:val="false"/>
            <w:color w:val="0000FF"/>
            <w:sz w:val="19"/>
            <w:u w:val="single"/>
          </w:rPr>
          <w:t>Note 6</w:t>
        </w:r>
      </w:hyperlink>
      <w:r>
        <w:rPr>
          <w:rFonts w:ascii="Arial;sans-serif" w:hAnsi="Arial;sans-serif"/>
          <w:b w:val="false"/>
          <w:color w:val="000000"/>
          <w:sz w:val="19"/>
        </w:rPr>
        <w:t>, Related Parties,</w:t>
      </w:r>
      <w:r>
        <w:rPr>
          <w:color w:val="000000"/>
        </w:rPr>
        <w:t xml:space="preserve"> </w:t>
      </w:r>
      <w:r>
        <w:rPr>
          <w:rFonts w:ascii="Arial;sans-serif" w:hAnsi="Arial;sans-serif"/>
          <w:b w:val="false"/>
          <w:i/>
          <w:color w:val="000000"/>
          <w:sz w:val="19"/>
        </w:rPr>
        <w:t xml:space="preserve">and </w:t>
      </w:r>
      <w:hyperlink w:anchor="i996aa8cb66ad41bcb8b74e1704a963fe_64">
        <w:r>
          <w:rPr>
            <w:rStyle w:val="InternetLink"/>
            <w:rFonts w:ascii="Arial;sans-serif" w:hAnsi="Arial;sans-serif"/>
            <w:b w:val="false"/>
            <w:color w:val="0000FF"/>
            <w:sz w:val="19"/>
            <w:u w:val="single"/>
          </w:rPr>
          <w:t>Note 11</w:t>
        </w:r>
      </w:hyperlink>
      <w:r>
        <w:rPr>
          <w:rFonts w:ascii="Arial;sans-serif" w:hAnsi="Arial;sans-serif"/>
          <w:b w:val="false"/>
          <w:color w:val="000000"/>
          <w:sz w:val="19"/>
        </w:rPr>
        <w:t>, Commitments and Contingencies, for additional information. The letter of credit, secured with East West Bank on May 17, 2025, is scheduled to expire on June 30, 2026. As of June 30, 2025, no amounts had been drawn under the letter of credit. Restricted cash is classified as a current asset on the condensed consolidated balance sheets based on the expected expiration date of the letter of credit.</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Accumulated other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8430"/>
                <wp:effectExtent l="0" t="0" r="0" b="0"/>
                <wp:wrapNone/>
                <wp:docPr id="10" name="Frame10"/>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8</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Accumulated other comprehensive loss is composed of foreign currency translation adjustments and unrealized gains and losses on marketable securities.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Foreign currencies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financial statements of Silvaco's international subsidiaries with local functional currencies are translated to U.S. dollars upon consolidation. Assets and liabilities are translated at the effective exchange rate on the balance sheet date. Results of operations are translated at average exchange rates, which approximate rates in effect when the underlying transactions occur. The Company recorded foreign currency translation adjustments of $0.8 million and $1.0 million for the three and six months ended June 30, 2025, respectively, and $0.2 million and $0.4 million for the three and six months ended June 30, 2024, respectively, within accumulated other comprehensive loss.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Certain of the Company’s sales and intercompany transactions are denominated in foreign currencies. These transactions are recorded in functional currency at the appropriate exchange rate on the transaction date. Monetary assets and liabilities denominated in a currency other than the Company's functional currency or its subsidiaries' functional currencies are remeasured at the effective exchange rate on the balance sheet date. Gains and losses resulting from foreign exchange transactions are included in interest and other expense, net in the Company’s condensed consolidated statements of operations. The Company recorded net foreign exchange transaction losses of $0.3 million and $0.5 million for the three and six months ended June 30, 2025, respectively, and immaterial net foreign exchange transaction losses for the three and six months ended June 30, 2024.</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Net loss per share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Basic net loss per share is computed based on the weighted average number of shares of common stock outstanding. Because the Company was in a loss position for all periods presented, the diluted earnings per share are equal to the basic earnings per share as the effect of potentially dilutive securities would have been antidilutive.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outstanding securities were excluded from the computation of diluted net loss per share because the effect would be anti-dilutive.</w:t>
      </w:r>
    </w:p>
    <w:tbl>
      <w:tblPr>
        <w:tblW w:w="3907" w:type="dxa"/>
        <w:jc w:val="left"/>
        <w:tblInd w:w="0" w:type="dxa"/>
        <w:tblLayout w:type="fixed"/>
        <w:tblCellMar>
          <w:top w:w="28" w:type="dxa"/>
          <w:left w:w="28" w:type="dxa"/>
          <w:bottom w:w="28" w:type="dxa"/>
          <w:right w:w="28" w:type="dxa"/>
        </w:tblCellMar>
      </w:tblPr>
      <w:tblGrid>
        <w:gridCol w:w="422"/>
        <w:gridCol w:w="373"/>
        <w:gridCol w:w="374"/>
        <w:gridCol w:w="510"/>
        <w:gridCol w:w="511"/>
        <w:gridCol w:w="156"/>
        <w:gridCol w:w="109"/>
        <w:gridCol w:w="109"/>
        <w:gridCol w:w="109"/>
        <w:gridCol w:w="510"/>
        <w:gridCol w:w="511"/>
        <w:gridCol w:w="213"/>
      </w:tblGrid>
      <w:tr>
        <w:trPr/>
        <w:tc>
          <w:tcPr>
            <w:tcW w:w="42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 Grants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2,895,398 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1,605,949 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Accounting guidance issued and not yet adopted</w:t>
      </w:r>
    </w:p>
    <w:p>
      <w:pPr>
        <w:pStyle w:val="TextBody"/>
        <w:bidi w:val="0"/>
        <w:spacing w:lineRule="auto" w:line="288" w:before="0" w:after="190"/>
        <w:jc w:val="both"/>
        <w:rPr/>
      </w:pPr>
      <w:r>
        <w:rPr>
          <w:rFonts w:ascii="Arial;sans-serif" w:hAnsi="Arial;sans-serif"/>
          <w:b w:val="false"/>
          <w:color w:val="000000"/>
          <w:sz w:val="19"/>
        </w:rPr>
        <w:t xml:space="preserve">In December 2023, the Financial Accounting Standards Board (“FASB”) issued accounting standard update (“ASU”) No. 2023-09, </w:t>
      </w:r>
      <w:r>
        <w:rPr>
          <w:rFonts w:ascii="Arial;sans-serif" w:hAnsi="Arial;sans-serif"/>
          <w:b w:val="false"/>
          <w:i/>
          <w:color w:val="000000"/>
          <w:sz w:val="19"/>
        </w:rPr>
        <w:t>Income Taxes (Topic 740)</w:t>
      </w:r>
      <w:r>
        <w:rPr>
          <w:rFonts w:ascii="Arial;sans-serif" w:hAnsi="Arial;sans-serif"/>
          <w:b w:val="false"/>
          <w:color w:val="000000"/>
          <w:sz w:val="19"/>
        </w:rPr>
        <w:t>: Improvement to Income Tax Disclosures to enhance the transparency and decision usefulness of income tax disclosures. This ASU is effective for annual periods beginning after December 15, 2024, on a prospective basis. Early adoption is permitted. The Company is currently evaluating the impact of this ASU on the condensed consolidated financial statements.</w:t>
      </w:r>
    </w:p>
    <w:p>
      <w:pPr>
        <w:pStyle w:val="TextBody"/>
        <w:bidi w:val="0"/>
        <w:spacing w:lineRule="auto" w:line="288" w:before="0" w:after="190"/>
        <w:jc w:val="both"/>
        <w:rPr/>
      </w:pPr>
      <w:r>
        <w:rPr>
          <w:rFonts w:ascii="Arial;sans-serif" w:hAnsi="Arial;sans-serif"/>
          <w:b w:val="false"/>
          <w:color w:val="000000"/>
          <w:sz w:val="19"/>
        </w:rPr>
        <w:t xml:space="preserve">In November 2024, the FASB issued ASU No. 2024-03, </w:t>
      </w:r>
      <w:r>
        <w:rPr>
          <w:rFonts w:ascii="Arial;sans-serif" w:hAnsi="Arial;sans-serif"/>
          <w:b w:val="false"/>
          <w:i/>
          <w:color w:val="000000"/>
          <w:sz w:val="19"/>
        </w:rPr>
        <w:t>Income Statement – Reporting Comprehensive Income – Expense Disaggregation Disclosures (Topic 220)</w:t>
      </w:r>
      <w:r>
        <w:rPr>
          <w:rFonts w:ascii="Arial;sans-serif" w:hAnsi="Arial;sans-serif"/>
          <w:b w:val="false"/>
          <w:color w:val="000000"/>
          <w:sz w:val="19"/>
        </w:rPr>
        <w:t>: Disaggregation of Income Statement Expenses. This ASU requires additional disclosure of certain amounts included in the expense captions presented on the statements of (loss) income as well as disclosures about selling expenses. This ASU is effective on a prospective basis, with the option for retrospective application, for annual periods beginning after December 15, 2026 and interim reporting periods beginning after December 15, 2027. Early adoption is permitted. The Company is currently evaluating the impact of this ASU on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3. Revenue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Company's revenue is derived principally from contracts which promise to deliver combinations of software licensing and related maintenance and services, which are accounted for as separate performance obligations with differing revenue recognition patterns. The transaction price is allocated to each distinct performance obligation based on the relative standalone selling price. Software license revenue consists of the Company’s software sold under a software license and is generally recognized upon shipment and delivery of license keys. Maintenance and service revenue consists of both maintenance revenues, which is recognized ratably over the term of the arrangement, and professional services revenues which is recognized based on when the Company delivers the related service pursuant to the terms of the arrangement.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8430"/>
                <wp:effectExtent l="0" t="0" r="0" b="0"/>
                <wp:wrapNone/>
                <wp:docPr id="11" name="Frame11"/>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9</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Customer contracts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it is entitled to. Revenue is recognized when, or as, performance obligations are satisfied by transferring control of a promised software or providing service to a customer.</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For multi-year software licenses, the Company generally invoices customers annually at the beginning of each annual coverage period.</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Transaction price allocated to the remaining performance obligations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June 30, 2025, approximately $36.4 million of revenue is expected to be recognized from remaining performance obligations. Revenue allocated to remaining performance obligations represents contracted revenue that has not yet been recognized, which includes both deferred revenue and backlog. The Company's backlog represents installment billings for periods beyond the current billing cycle. The Company expects to recognize revenue on approximately 50% of these remaining performance obligations over the next 12 months, with the remaining balance recognized thereafter.</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Deferred revenue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Deferred revenue is comprised mainly of unearned revenue related to maintenance and service on software licenses and pending software license deliveries. Deferred revenue also includes contracts for professional services to be performed in the future.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During the six months ended June 30, 2025, the Company recognized revenue of $3.6 million that was included in the total deferred revenue balance as of December 31, 2024. All other activity in deferred revenue is due to the timing of invoices in relation to the timing of revenue recognized during the six months ended June 30, 2025, as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8430"/>
                <wp:effectExtent l="0" t="0" r="0" b="0"/>
                <wp:wrapNone/>
                <wp:docPr id="12" name="Frame12"/>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10</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4. Acquisitions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Optical Proximity Correction Suite of Tools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March 4, 2025, the Company consummated an asset purchase agreement with Cadence Design Systems, Inc. (“Cadence”), pursuant to which, among other things, Silvaco agreed to acquire certain assets and assume certain liabilities comprising Cadence’s Process Proximity Compensation product line, an optical proximity correction suite of tools (the “OPC Business”), in exchange for $11.5 million in cash.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expects that the addition of the OPC suite of tools and expert team, which are complementary to Silvaco’s EDA and TCAD suite, will enhance Silvaco’s ability to offer advanced computational lithography solutions that address the increasing complexity of semiconductor manufacturing at advanced nodes.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acquisition was accounted for as a business combination, and Silvaco recorded the assets acquired and liabilities assumed based on their estimated fair values at the date of the acquisition. Silvaco recorded the excess of consideration transferred over the aggregate fair values of acquired assets and assumed liabilities as goodwill. The goodwill recorded was primarily attributable to synergies expected to arise after the acquisition and the value of the acquired workforce, and is expected to be deductible for U.S. income tax purposes.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is a summary of the assets acquired and liabilities assumed in the OPC Business acquisition.</w:t>
      </w:r>
    </w:p>
    <w:tbl>
      <w:tblPr>
        <w:tblW w:w="9789" w:type="dxa"/>
        <w:jc w:val="left"/>
        <w:tblInd w:w="0" w:type="dxa"/>
        <w:tblLayout w:type="fixed"/>
        <w:tblCellMar>
          <w:top w:w="28" w:type="dxa"/>
          <w:left w:w="28" w:type="dxa"/>
          <w:bottom w:w="28" w:type="dxa"/>
          <w:right w:w="28" w:type="dxa"/>
        </w:tblCellMar>
      </w:tblPr>
      <w:tblGrid>
        <w:gridCol w:w="1508"/>
        <w:gridCol w:w="1315"/>
        <w:gridCol w:w="1332"/>
        <w:gridCol w:w="109"/>
        <w:gridCol w:w="109"/>
        <w:gridCol w:w="109"/>
        <w:gridCol w:w="1259"/>
        <w:gridCol w:w="1259"/>
        <w:gridCol w:w="1262"/>
        <w:gridCol w:w="109"/>
        <w:gridCol w:w="109"/>
        <w:gridCol w:w="109"/>
        <w:gridCol w:w="227"/>
        <w:gridCol w:w="808"/>
        <w:gridCol w:w="165"/>
      </w:tblGrid>
      <w:tr>
        <w:trPr/>
        <w:tc>
          <w:tcPr>
            <w:tcW w:w="150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Amortization Period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4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Contract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615 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5,311 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(416)</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assets acquired and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11,500</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fair value of developed technology was determined using a discounted cash flow model through application of the income approach, using the relief-from-royalty method, which assumed a market-based royalty rate applied to projected revenue. The fair value of customer relationships was determined using a discounted cash flow model under the income approach, specifically the multi-period excess earnings method, which discounts future cash flows attributable to existing customers, net of operating expenses and contributory asset charges.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During the three and six months ended June 30, 2025, the Company incurred $0 and $0.6 million of acquisition-related expenses in connection with the acquisition of the OPC Business, which were recognized as general and administrative expense on the condensed consolidated statements of operations.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operating results of the OPC Business have been included in the Company's condensed consolidated financial statements since the date of acquisition and were not material for the periods presented. Pro forma results of operations have not been presented because the effects of this acquisition were not material to the Company's condensed consolidated financial results.</w:t>
      </w:r>
    </w:p>
    <w:p>
      <w:pPr>
        <w:pStyle w:val="TextBody"/>
        <w:bidi w:val="0"/>
        <w:spacing w:before="0" w:after="190"/>
        <w:jc w:val="both"/>
        <w:rPr/>
      </w:pPr>
      <w:r>
        <w:rPr/>
      </w:r>
    </w:p>
    <w:p>
      <w:pPr>
        <w:pStyle w:val="TextBody"/>
        <w:bidi w:val="0"/>
        <w:spacing w:before="80" w:after="40"/>
        <w:jc w:val="left"/>
        <w:rPr/>
      </w:pPr>
      <w:r>
        <w:rPr/>
      </w:r>
    </w:p>
    <w:p>
      <w:pPr>
        <w:pStyle w:val="TextBody"/>
        <w:bidi w:val="0"/>
        <w:spacing w:before="80" w:after="40"/>
        <w:jc w:val="left"/>
        <w:rPr/>
      </w:pPr>
      <w:r>
        <w:rPr/>
      </w:r>
    </w:p>
    <w:p>
      <w:pPr>
        <w:pStyle w:val="TextBody"/>
        <w:bidi w:val="0"/>
        <w:spacing w:before="80" w:after="40"/>
        <w:jc w:val="left"/>
        <w:rPr/>
      </w:pPr>
      <w:r>
        <w:rPr/>
      </w:r>
    </w:p>
    <w:p>
      <w:pPr>
        <w:pStyle w:val="TextBody"/>
        <w:bidi w:val="0"/>
        <w:spacing w:before="80" w:after="40"/>
        <w:jc w:val="left"/>
        <w:rPr/>
      </w:pPr>
      <w:r>
        <w:rPr/>
      </w:r>
    </w:p>
    <w:p>
      <w:pPr>
        <w:pStyle w:val="TextBody"/>
        <w:bidi w:val="0"/>
        <w:spacing w:before="80" w:after="40"/>
        <w:jc w:val="left"/>
        <w:rPr/>
      </w:pPr>
      <w:r>
        <w:rPr/>
      </w:r>
    </w:p>
    <w:p>
      <w:pPr>
        <w:pStyle w:val="TextBody"/>
        <w:bidi w:val="0"/>
        <w:spacing w:before="80" w:after="40"/>
        <w:jc w:val="left"/>
        <w:rPr/>
      </w:pPr>
      <w:r>
        <w:rPr/>
      </w:r>
    </w:p>
    <w:p>
      <w:pPr>
        <w:pStyle w:val="TextBody"/>
        <w:bidi w:val="0"/>
        <w:spacing w:before="80" w:after="40"/>
        <w:jc w:val="left"/>
        <w:rPr/>
      </w:pPr>
      <w:r>
        <w:rPr/>
      </w:r>
    </w:p>
    <w:p>
      <w:pPr>
        <w:pStyle w:val="TextBody"/>
        <w:bidi w:val="0"/>
        <w:spacing w:before="80" w:after="40"/>
        <w:jc w:val="left"/>
        <w:rPr/>
      </w:pPr>
      <w:r>
        <w:rPr/>
      </w:r>
    </w:p>
    <w:p>
      <w:pPr>
        <w:pStyle w:val="TextBody"/>
        <w:bidi w:val="0"/>
        <w:spacing w:before="80" w:after="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8430"/>
                <wp:effectExtent l="0" t="0" r="0" b="0"/>
                <wp:wrapNone/>
                <wp:docPr id="13" name="Frame1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11</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Tech-X Corporation</w:t>
      </w:r>
    </w:p>
    <w:p>
      <w:pPr>
        <w:pStyle w:val="TextBody"/>
        <w:bidi w:val="0"/>
        <w:spacing w:lineRule="auto" w:line="288" w:before="0" w:after="190"/>
        <w:jc w:val="both"/>
        <w:rPr/>
      </w:pPr>
      <w:r>
        <w:rPr>
          <w:rFonts w:ascii="Arial;sans-serif" w:hAnsi="Arial;sans-serif"/>
          <w:b w:val="false"/>
          <w:color w:val="000000"/>
          <w:sz w:val="19"/>
        </w:rPr>
        <w:t xml:space="preserve">On April 29, 2025, the Company consummated a stock purchase agreement with the shareholders of Tech-X Corporation (“Tech-X”), pursuant to which Silvaco agreed to acquire all of the outstanding shares of Tech-X for an aggregate purchase price of $8.0 million. The purchase consideration consisted of (i) $3.9 million in cash, (ii) 457,666 shares of the Company’s common stock with a fair value of $2.4 million on the closing date, and (iii) contingent consideration, with a maximum payout of $2.0 million, and with an estimated fair value of $1.7 million, payable in cash upon the achievement of specified technical milestones through December 2026. The fair value of the contingent consideration was determined using a discounted cash flow model utilizing a probability weighted analysis, and is re-valued period to period with any changes recorded to interest and other expense, net in the condensed consolidated statements of loss. Refer to </w:t>
      </w:r>
      <w:hyperlink w:anchor="i996aa8cb66ad41bcb8b74e1704a963fe_67">
        <w:r>
          <w:rPr>
            <w:rStyle w:val="InternetLink"/>
            <w:rFonts w:ascii="Arial;sans-serif" w:hAnsi="Arial;sans-serif"/>
            <w:b w:val="false"/>
            <w:color w:val="0000FF"/>
            <w:sz w:val="19"/>
            <w:u w:val="single"/>
          </w:rPr>
          <w:t>Note 12</w:t>
        </w:r>
      </w:hyperlink>
      <w:r>
        <w:rPr>
          <w:rFonts w:ascii="Arial;sans-serif" w:hAnsi="Arial;sans-serif"/>
          <w:b w:val="false"/>
          <w:color w:val="000000"/>
          <w:sz w:val="19"/>
        </w:rPr>
        <w:t>, Fair Value of Financial Instruments, for further information.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believes that integrating Tech-X’s advanced multi-physics simulation tools with Silvaco’s Victory TCAD platform will enhance customers’ ability to develop more accurate digital twin models for photonics, semiconductor devices, and wafer-scale plasma etching.</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acquisition was accounted for as a business combination. The Company recognized the assets acquired and liabilities assumed at their estimated fair values as of the acquisition date. The excess of the total consideration transferred over the fair value of the net identifiable assets acquired was recorded as goodwill. The goodwill is primarily attributable to expected synergies from the integration of Tech-X’s technologies with the Company’s existing platform and the value of the acquired workforce. The goodwill is not deductible for U.S. income tax purposes.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is a summary of the preliminary fair value of assets acquired and liabilities assumed in the Tech-X acquisition.</w:t>
      </w:r>
    </w:p>
    <w:tbl>
      <w:tblPr>
        <w:tblW w:w="9848" w:type="dxa"/>
        <w:jc w:val="left"/>
        <w:tblInd w:w="0" w:type="dxa"/>
        <w:tblLayout w:type="fixed"/>
        <w:tblCellMar>
          <w:top w:w="28" w:type="dxa"/>
          <w:left w:w="28" w:type="dxa"/>
          <w:bottom w:w="28" w:type="dxa"/>
          <w:right w:w="28" w:type="dxa"/>
        </w:tblCellMar>
      </w:tblPr>
      <w:tblGrid>
        <w:gridCol w:w="1525"/>
        <w:gridCol w:w="1332"/>
        <w:gridCol w:w="1358"/>
        <w:gridCol w:w="109"/>
        <w:gridCol w:w="109"/>
        <w:gridCol w:w="109"/>
        <w:gridCol w:w="1259"/>
        <w:gridCol w:w="1259"/>
        <w:gridCol w:w="1262"/>
        <w:gridCol w:w="109"/>
        <w:gridCol w:w="109"/>
        <w:gridCol w:w="109"/>
        <w:gridCol w:w="250"/>
        <w:gridCol w:w="767"/>
        <w:gridCol w:w="182"/>
      </w:tblGrid>
      <w:tr>
        <w:trPr/>
        <w:tc>
          <w:tcPr>
            <w:tcW w:w="152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Amortization Period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4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851 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749 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1,730 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1,280 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Tradename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4,355 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(450)</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(566)</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Net assets acquired and liabilities assumed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7,993</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fair value of customer relationships was determined using a discounted cash flow model under the income approach, specifically the multi-period excess earnings method, which discounts future cash flows attributable to existing customers, net of operating expenses and contributory asset charges. The fair value of developed technology and tradename was determined using a discounted cash flow model under the income approach, specifically the relief-from-royalty method, which assumes a market-based royalty rate applied to projected revenues.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has made a preliminary allocation of the purchase price at the date of acquisition based on its understanding of the fair value of the acquired assets and assumed liabilities. The Company is in the process of obtaining all information related to the working capital assets and liabilities. Accordingly, the Company may make adjustments to the preliminary purchase price allocations during the one year measurement period from the date of acquisition until such working capital adjustments are final.</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During the three and six months ended June 30, 2025, the Company incurred $0.8 million in acquisition-related expenses in connection with the acquisition of Tech-X, recognized as general and administrative expense on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8430"/>
                <wp:effectExtent l="0" t="0" r="0" b="0"/>
                <wp:wrapNone/>
                <wp:docPr id="14" name="Frame1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12</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operating results of Tech-X have been included in the Company's condensed consolidated financial statements since the date of acquisition and were not material for the periods presented. Pro forma results of operations have not been presented because the effects of this acquisition were not material to the Company's condensed consolidated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8430"/>
                <wp:effectExtent l="0" t="0" r="0" b="0"/>
                <wp:wrapNone/>
                <wp:docPr id="15" name="Frame1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13</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5. Goodwill and Intangible Assets</w:t>
      </w:r>
    </w:p>
    <w:p>
      <w:pPr>
        <w:pStyle w:val="TextBody"/>
        <w:bidi w:val="0"/>
        <w:spacing w:lineRule="auto" w:line="288" w:before="0" w:after="190"/>
        <w:jc w:val="both"/>
        <w:rPr/>
      </w:pPr>
      <w:r>
        <w:rPr>
          <w:rFonts w:ascii="Arial;sans-serif" w:hAnsi="Arial;sans-serif"/>
          <w:b w:val="false"/>
          <w:color w:val="000000"/>
          <w:sz w:val="19"/>
        </w:rPr>
        <w:t xml:space="preserve">The Company acquired Tech-X in April 2025 and the OPC Business in March 2025, which resulted in an increase to goodwill of $4.4 million and $9.7 million during the three and six months ended June 30, 2025, respectively. .Refer to </w:t>
      </w:r>
      <w:hyperlink w:anchor="i996aa8cb66ad41bcb8b74e1704a963fe_43">
        <w:r>
          <w:rPr>
            <w:rStyle w:val="InternetLink"/>
            <w:rFonts w:ascii="Arial;sans-serif" w:hAnsi="Arial;sans-serif"/>
            <w:b w:val="false"/>
            <w:color w:val="0000FF"/>
            <w:sz w:val="19"/>
            <w:u w:val="single"/>
          </w:rPr>
          <w:t>Note 4</w:t>
        </w:r>
      </w:hyperlink>
      <w:r>
        <w:rPr>
          <w:rFonts w:ascii="Arial;sans-serif" w:hAnsi="Arial;sans-serif"/>
          <w:b w:val="false"/>
          <w:color w:val="000000"/>
          <w:sz w:val="19"/>
        </w:rPr>
        <w:t>, Acquisitions, for further information.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June 30, 2025 and December 31, 2024, intangible assets were classified as follows:</w:t>
      </w:r>
    </w:p>
    <w:tbl>
      <w:tblPr>
        <w:tblW w:w="10205" w:type="dxa"/>
        <w:jc w:val="left"/>
        <w:tblInd w:w="0" w:type="dxa"/>
        <w:tblLayout w:type="fixed"/>
        <w:tblCellMar>
          <w:top w:w="28" w:type="dxa"/>
          <w:left w:w="28" w:type="dxa"/>
          <w:bottom w:w="28" w:type="dxa"/>
          <w:right w:w="28" w:type="dxa"/>
        </w:tblCellMar>
      </w:tblPr>
      <w:tblGrid>
        <w:gridCol w:w="782"/>
        <w:gridCol w:w="546"/>
        <w:gridCol w:w="550"/>
        <w:gridCol w:w="905"/>
        <w:gridCol w:w="905"/>
        <w:gridCol w:w="907"/>
        <w:gridCol w:w="109"/>
        <w:gridCol w:w="109"/>
        <w:gridCol w:w="109"/>
        <w:gridCol w:w="289"/>
        <w:gridCol w:w="1031"/>
        <w:gridCol w:w="149"/>
        <w:gridCol w:w="109"/>
        <w:gridCol w:w="109"/>
        <w:gridCol w:w="109"/>
        <w:gridCol w:w="383"/>
        <w:gridCol w:w="1176"/>
        <w:gridCol w:w="199"/>
        <w:gridCol w:w="109"/>
        <w:gridCol w:w="109"/>
        <w:gridCol w:w="109"/>
        <w:gridCol w:w="264"/>
        <w:gridCol w:w="940"/>
        <w:gridCol w:w="198"/>
      </w:tblGrid>
      <w:tr>
        <w:trPr/>
        <w:tc>
          <w:tcPr>
            <w:tcW w:w="78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Intangible assets:</w:t>
            </w:r>
          </w:p>
        </w:tc>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Amortization Period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Value</w:t>
            </w:r>
          </w:p>
        </w:tc>
      </w:tr>
      <w:tr>
        <w:trPr/>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Developed technology</w:t>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3,080 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2,257 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6,403 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Trade name</w:t>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Non-compete agreements</w:t>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Licensed IP</w:t>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4,979 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3,734 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 xml:space="preserve">Total intangible assets </w:t>
            </w:r>
          </w:p>
        </w:tc>
        <w:tc>
          <w:tcPr>
            <w:tcW w:w="2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14,929</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(2,415)</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12,514</w:t>
            </w: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4"/>
        <w:gridCol w:w="553"/>
        <w:gridCol w:w="556"/>
        <w:gridCol w:w="918"/>
        <w:gridCol w:w="918"/>
        <w:gridCol w:w="920"/>
        <w:gridCol w:w="109"/>
        <w:gridCol w:w="109"/>
        <w:gridCol w:w="109"/>
        <w:gridCol w:w="313"/>
        <w:gridCol w:w="960"/>
        <w:gridCol w:w="161"/>
        <w:gridCol w:w="109"/>
        <w:gridCol w:w="109"/>
        <w:gridCol w:w="109"/>
        <w:gridCol w:w="386"/>
        <w:gridCol w:w="1187"/>
        <w:gridCol w:w="201"/>
        <w:gridCol w:w="109"/>
        <w:gridCol w:w="109"/>
        <w:gridCol w:w="109"/>
        <w:gridCol w:w="283"/>
        <w:gridCol w:w="869"/>
        <w:gridCol w:w="215"/>
      </w:tblGrid>
      <w:tr>
        <w:trPr/>
        <w:tc>
          <w:tcPr>
            <w:tcW w:w="78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Intangible assets:</w:t>
            </w:r>
          </w:p>
        </w:tc>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Amortization Period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Value</w:t>
            </w:r>
          </w:p>
        </w:tc>
      </w:tr>
      <w:tr>
        <w:trPr/>
        <w:tc>
          <w:tcPr>
            <w:tcW w:w="1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Developed technology</w:t>
            </w:r>
          </w:p>
        </w:tc>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Non-compete agreements</w:t>
            </w:r>
          </w:p>
        </w:tc>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Licensed IP</w:t>
            </w:r>
          </w:p>
        </w:tc>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4,232 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 xml:space="preserve">Total intangible assets </w:t>
            </w:r>
          </w:p>
        </w:tc>
        <w:tc>
          <w:tcPr>
            <w:tcW w:w="2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5,889</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(1,520)</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4,369</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Amortization expense by function for the three and six months ended June 30, 2025 and 2024 was follows:</w:t>
      </w:r>
    </w:p>
    <w:tbl>
      <w:tblPr>
        <w:tblW w:w="7717" w:type="dxa"/>
        <w:jc w:val="left"/>
        <w:tblInd w:w="0" w:type="dxa"/>
        <w:tblLayout w:type="fixed"/>
        <w:tblCellMar>
          <w:top w:w="28" w:type="dxa"/>
          <w:left w:w="28" w:type="dxa"/>
          <w:bottom w:w="28" w:type="dxa"/>
          <w:right w:w="28" w:type="dxa"/>
        </w:tblCellMar>
      </w:tblPr>
      <w:tblGrid>
        <w:gridCol w:w="957"/>
        <w:gridCol w:w="840"/>
        <w:gridCol w:w="843"/>
        <w:gridCol w:w="269"/>
        <w:gridCol w:w="613"/>
        <w:gridCol w:w="139"/>
        <w:gridCol w:w="139"/>
        <w:gridCol w:w="139"/>
        <w:gridCol w:w="139"/>
        <w:gridCol w:w="269"/>
        <w:gridCol w:w="613"/>
        <w:gridCol w:w="139"/>
        <w:gridCol w:w="109"/>
        <w:gridCol w:w="109"/>
        <w:gridCol w:w="109"/>
        <w:gridCol w:w="245"/>
        <w:gridCol w:w="559"/>
        <w:gridCol w:w="126"/>
        <w:gridCol w:w="126"/>
        <w:gridCol w:w="126"/>
        <w:gridCol w:w="126"/>
        <w:gridCol w:w="245"/>
        <w:gridCol w:w="559"/>
        <w:gridCol w:w="179"/>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amortization expense</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622 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296 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366 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January 1, 2025, the Company removed the carrying value of $0.1 million of fully amortized intangible assets which at the time of removal had $0 net book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8430"/>
                <wp:effectExtent l="0" t="0" r="0" b="0"/>
                <wp:wrapNone/>
                <wp:docPr id="16" name="Frame16"/>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14</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June 30, 2025, estimated future amortization expense for the intangible assets reflected above was as follows:</w:t>
      </w:r>
    </w:p>
    <w:tbl>
      <w:tblPr>
        <w:tblW w:w="6049" w:type="dxa"/>
        <w:jc w:val="left"/>
        <w:tblInd w:w="0" w:type="dxa"/>
        <w:tblLayout w:type="fixed"/>
        <w:tblCellMar>
          <w:top w:w="28" w:type="dxa"/>
          <w:left w:w="28" w:type="dxa"/>
          <w:bottom w:w="28" w:type="dxa"/>
          <w:right w:w="28" w:type="dxa"/>
        </w:tblCellMar>
      </w:tblPr>
      <w:tblGrid>
        <w:gridCol w:w="1538"/>
        <w:gridCol w:w="1350"/>
        <w:gridCol w:w="1357"/>
        <w:gridCol w:w="136"/>
        <w:gridCol w:w="136"/>
        <w:gridCol w:w="136"/>
        <w:gridCol w:w="264"/>
        <w:gridCol w:w="940"/>
        <w:gridCol w:w="192"/>
      </w:tblGrid>
      <w:tr>
        <w:trPr/>
        <w:tc>
          <w:tcPr>
            <w:tcW w:w="153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Ending December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Remainder of 2025</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2026</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2,465 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2,421 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2029</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Thereafter</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2,262 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 xml:space="preserve">Total net carrying value of intangible assets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12,514</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6. Related Parties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 has a commercial lease agreement with Kipee International, Inc., a related party controlled by Katherine Ngai-Pesic, who is the Company's founding principal stockholder and chairperson of the Board of Directors, for Silvaco's corporate office in Santa Clara, California. In connection with this lease arrangement, the Company recorded rent expense of $0.1 million during each of the three and six months ended June 30, 2025 and 2024. The Company's original three year commercial office lease for this property commenced on May 1, 2022, and expired on April 30, 2025. The Company and Kipee International entered into a new commercial lease agreement, effective as of May 1, 2025, for a three year period ending on April 30, 2028. The Company's right-of-use asset and operating lease liability for this property is $0.7 million as of June 30, 2025.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 has international office leases with New Horizons (Cambridge) LTD (“NHC”) and New Horizons France (“NHF”) in Cambridgeshire, England and Grenoble, France, respectively. NHC and NHF are real estate entities owned and controlled by Ms. Ngai-Pesic. In connection with these lease arrangements, the Company recorded rent expense of $0.1 million during each of the three and six months ended June 30, 2025 and 2024. The Company's right-of-use asset and operating lease liability under the NHC lease, which expires on December 31, 2029, is $0.9 million as of June 30, 2025. The Company's right-of-use asset and operating lease liability under the NHF lease, which expires on April 30, 2026, is $0.1 million as of June 30, 2025.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June 13, 2022, Silvaco entered into a $4.0 million line of credit with Ms. Ngai-Pesic (the “2022 Credit Line”). In connection with this line of credit, the Company recorded interest expense of $0.1 million during the three and six months ended June 30, 2024. The outstanding amounts due under the 2022 Credit Line were repaid in full and the 2022 Credit Line was terminated in May 2024. </w:t>
      </w:r>
    </w:p>
    <w:p>
      <w:pPr>
        <w:pStyle w:val="TextBody"/>
        <w:bidi w:val="0"/>
        <w:spacing w:lineRule="auto" w:line="288" w:before="0" w:after="190"/>
        <w:jc w:val="both"/>
        <w:rPr/>
      </w:pPr>
      <w:r>
        <w:rPr>
          <w:rFonts w:ascii="Arial;sans-serif" w:hAnsi="Arial;sans-serif"/>
          <w:b w:val="false"/>
          <w:color w:val="000000"/>
          <w:sz w:val="19"/>
        </w:rPr>
        <w:t>In May 2025, the Company, Ms. Ngai-Pesic, and Iliya Pesic (Ms. Ngai-Pesic and Mr. Pesic, collectively, the “Co-Defendants”) agreed to a settlement in connection with a trial court judgment awarded to the Nangate Parties. The $32.5 million settlement (the “Settlement Payment”) consists of an initial $16.0 million payment paid on June 17, 2025 and four quarterly installment payments of $4.1 million each, payable on August 15, 2025, November 14, 2025, February 13, 2026, and May 15, 2026. Following the Settlement Agreement, the Co-Defendants, each a principal stockholder of the Company and a member of the Company’s board of directors, executed an apportionment agreement with the Company under which the Co-Defendants agreed to bear 25% of the Settlement Payment, with the Company bearing the remaining 75%. In June 2025, the Company made the initial payment of $16.0 million on behalf of the Company and the Co-Defendants, which included $6.0 million contributed by the Co-Defendants in accordance with the apportionment agreement. The Company recorded a charge to litigation settlement and accrued expenses and other current liabilities of $13.1 million for the six months ended June 30, 2025 related to the Settlement Agreement. The Company did not record a charge during the three months ended June 30, 2025. As of June 30, 2025, the Company’s remaining liability under the Settlement Payment is $14.4 million, which is included in accrued expenses and other current liabilities on the condensed consolidated balance sheet. In the event that the Co-Defendants do not satisfy their obligation under the Settlement Agreement, the Company will assume payment of the Co-Defendants litigation settlement obligation of $2.1 million to avoid a default under the Settlement Agreement. In such unlikely circumstance, the Company expects to seek remedies from the Co-Defendants under the apportionment agreement. See</w:t>
      </w:r>
      <w:r>
        <w:rPr>
          <w:color w:val="000000"/>
        </w:rPr>
        <w:t xml:space="preserve"> </w:t>
      </w:r>
      <w:hyperlink w:anchor="i996aa8cb66ad41bcb8b74e1704a963fe_64">
        <w:r>
          <w:rPr>
            <w:rStyle w:val="InternetLink"/>
            <w:rFonts w:ascii="Arial;sans-serif" w:hAnsi="Arial;sans-serif"/>
            <w:b w:val="false"/>
            <w:color w:val="0000FF"/>
            <w:sz w:val="19"/>
            <w:u w:val="single"/>
          </w:rPr>
          <w:t>Note 11</w:t>
        </w:r>
      </w:hyperlink>
      <w:r>
        <w:rPr>
          <w:rFonts w:ascii="Arial;sans-serif" w:hAnsi="Arial;sans-serif"/>
          <w:b w:val="false"/>
          <w:color w:val="000000"/>
          <w:sz w:val="19"/>
        </w:rPr>
        <w:t>, Commitments and Contingencies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8430"/>
                <wp:effectExtent l="0" t="0" r="0" b="0"/>
                <wp:wrapNone/>
                <wp:docPr id="17" name="Frame17"/>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15</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7. Debt and Financing Obligations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December 2023, the Company entered into a loan facility with East West Bank (the “East West Bank Loan”) which had a maturity date of December 14, 2025 and provided for borrowings of up to $5.0 million bearing interest at a per annum rate equal to one half of one percent (0.5%) above the greater of (i) the prime rate or (ii) four and one half percent (4.5%). The Company drew $0 and $4.3 million and recorded interest expense of $0.1 million and $0.2 million on the East West Bank Loan during the three and six months ended June 30, 2024, respectively. In May 2024, the $4.3 million was repaid in full and the East West Bank Loan was terminated. Accordingly, the Company recognized a loss on debt extinguishment of $0.1 million during the three and six months ended June 30, 2024.</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April 11, 2024, the Company amended its license to use, perform, display, copy, reproduce, modify, adapt, alter, customize, translate or otherwise create derivative works based on certain technology of NXP Semiconductors Netherlands B.V. to develop and make licensed designs for the Company’s account, and to market, demonstrate, promote, sell, offer to sell, distribute and otherwise dispose of such licensed designs for total cash consideration of $6.0 million, to be paid over 5 years, pursuant to which the Company recorded an associated vendor financing obligation, which has a balance of $3.1 million as of June 30, 2025. The Company determined that this vendor financing obligation had an imputed interest rate of 9%, which is reflective of its borrowing rate for arrangements with similar terms. The Company recognized interest expense of $0.1 million and $0.2 million for the three and six months ended June 30, 2025, respectively, and $0.1 million for both the three and six months ended June 30, 2024. The Company’s vendor financing obligation is comprised of the following payments as of June 30, 2025:</w:t>
      </w:r>
    </w:p>
    <w:tbl>
      <w:tblPr>
        <w:tblW w:w="5114" w:type="dxa"/>
        <w:jc w:val="left"/>
        <w:tblInd w:w="0" w:type="dxa"/>
        <w:tblLayout w:type="fixed"/>
        <w:tblCellMar>
          <w:top w:w="28" w:type="dxa"/>
          <w:left w:w="28" w:type="dxa"/>
          <w:bottom w:w="28" w:type="dxa"/>
          <w:right w:w="28" w:type="dxa"/>
        </w:tblCellMar>
      </w:tblPr>
      <w:tblGrid>
        <w:gridCol w:w="1420"/>
        <w:gridCol w:w="1244"/>
        <w:gridCol w:w="1251"/>
        <w:gridCol w:w="250"/>
        <w:gridCol w:w="767"/>
        <w:gridCol w:w="182"/>
      </w:tblGrid>
      <w:tr>
        <w:trPr/>
        <w:tc>
          <w:tcPr>
            <w:tcW w:w="142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u w:val="single"/>
              </w:rPr>
            </w:pPr>
            <w:r>
              <w:rPr>
                <w:rFonts w:ascii="Arial;sans-serif" w:hAnsi="Arial;sans-serif"/>
                <w:b/>
                <w:color w:val="000000"/>
                <w:sz w:val="19"/>
                <w:u w:val="single"/>
              </w:rPr>
              <w:t>For the year ending December 31,</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Remainder of 2025</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2026</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undiscounted cash flows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Imputed interest</w:t>
            </w:r>
          </w:p>
        </w:tc>
        <w:tc>
          <w:tcPr>
            <w:tcW w:w="10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537 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Present value of vendor financing obligation</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3,063 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Vendor financing obligation, current</w:t>
            </w:r>
          </w:p>
        </w:tc>
        <w:tc>
          <w:tcPr>
            <w:tcW w:w="10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1,114 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Vendor financing obligation, non-current</w:t>
            </w:r>
          </w:p>
        </w:tc>
        <w:tc>
          <w:tcPr>
            <w:tcW w:w="25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1,949 </w:t>
            </w:r>
          </w:p>
        </w:tc>
        <w:tc>
          <w:tcPr>
            <w:tcW w:w="18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April 16, 2024, the Company entered into a note purchase agreement with Micron Technology Inc. (“Micron”), which has been and is a customer of the Company, pursuant to which the Company issued to Micron a senior subordinated convertible promissory note in the principal amount of $5.0 million (the “Micron Note”). The Micron Note was contractually subordinated to the East West Bank Loan through a subordination agreement with East West Bank, but was senior to all of our other existing debt and was senior to any new future debt incurred (other than any undrawn amount available under the East West Bank Loan while it was outstanding). The Micron Note accrued interest at a rate of 8% per annum, with principal and interest due upon maturity three years after the date of issuance. Upon the consummation of the initial public offering (“IPO”), the Micron Note was mandatorily convertible into a number of shares equal to the outstanding principal amount and accrued interest divided by a conversion price equal to (a) the price of the Company’s common stock issued in the initial public offering, times (b) 0.90. The Company determined that the feature that allowed for settlement of the Micron Note into a variable number of shares required bifurcation as a derivative liability and should be initially measured at fair value. The Company recorded a derivative liability of $0.5 million and a corresponding debt discount of $0.5 million on the issuance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8430"/>
                <wp:effectExtent l="0" t="0" r="0" b="0"/>
                <wp:wrapNone/>
                <wp:docPr id="18" name="Frame18"/>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16</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May 13, 2024, the Micron Note was converted into 294,217 shares of the Company’s common stock in connection with the consummation of the IPO. The shares issued pursuant to the Micron Note were registered for resale under the Securities Act. Upon the settlement of the Micron Note, the derivative liability was settled and the Company remeasured it to its fair value and recorded a loss on derivative remeasurement of $28,000 during the three and six months ended June 30, 2024, which was recorded in interest and other expense, net on the Company’s condensed consolidated statements of operations. As a result, the fair value of the shares issued of $5.6 million was recognized in additional paid-in capital and the Company settled the debt, inclusive of the derivative liability, and recognized a loss on debt extinguishment of $0.7 million during the three and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8. Stock-Based Compensation</w:t>
      </w:r>
    </w:p>
    <w:p>
      <w:pPr>
        <w:pStyle w:val="TextBody"/>
        <w:bidi w:val="0"/>
        <w:spacing w:lineRule="auto" w:line="288" w:before="0" w:after="190"/>
        <w:jc w:val="both"/>
        <w:rPr>
          <w:rFonts w:ascii="Arial;sans-serif" w:hAnsi="Arial;sans-serif"/>
          <w:b w:val="false"/>
          <w:i/>
          <w:color w:val="000000"/>
          <w:sz w:val="19"/>
        </w:rPr>
      </w:pPr>
      <w:r>
        <w:rPr>
          <w:rFonts w:ascii="Arial;sans-serif" w:hAnsi="Arial;sans-serif"/>
          <w:b w:val="false"/>
          <w:i/>
          <w:color w:val="000000"/>
          <w:sz w:val="19"/>
        </w:rPr>
        <w:t>Stock-Based Compensation Plans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March 18, 2024, the number of shares of common stock reserved for issuance under the Company’s 2014 Stock Incentive Plan (the “2014 Plan”) was increased to 4.6 million and the term of the 2014 Plan was extended to March 18, 2034. On April 26, 2024, in connection with the consummation of the Company’s IPO, the Company’s board of directors approved and adopted the 2024 Stock Incentive Plan (“2024 Plan”), subject to stockholder approval, and the Company’s stockholders approved the 2024 Plan on April 29, 2024. The 2024 Plan became effective on May 8, 2024, and supersedes the 2014 Plan. All forfeited shares underlying RSUs granted under the 2014 Plan and shares reserved for future issuance under the 2014 Plan are included in the share reserve under the 2024 Plan. As of June 30, 2025, the number of shares of common stock reserved for future issuance under the 2024 Plan was 2,414,426.</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summarizes the Company's RSU activity pursuant to the 2014 Plan and the 2024 Plan for the six months ended June 30, 2025:</w:t>
      </w:r>
    </w:p>
    <w:tbl>
      <w:tblPr>
        <w:tblW w:w="10205" w:type="dxa"/>
        <w:jc w:val="left"/>
        <w:tblInd w:w="0" w:type="dxa"/>
        <w:tblLayout w:type="fixed"/>
        <w:tblCellMar>
          <w:top w:w="28" w:type="dxa"/>
          <w:left w:w="28" w:type="dxa"/>
          <w:bottom w:w="28" w:type="dxa"/>
          <w:right w:w="28" w:type="dxa"/>
        </w:tblCellMar>
      </w:tblPr>
      <w:tblGrid>
        <w:gridCol w:w="1095"/>
        <w:gridCol w:w="960"/>
        <w:gridCol w:w="966"/>
        <w:gridCol w:w="109"/>
        <w:gridCol w:w="109"/>
        <w:gridCol w:w="109"/>
        <w:gridCol w:w="378"/>
        <w:gridCol w:w="1157"/>
        <w:gridCol w:w="194"/>
        <w:gridCol w:w="109"/>
        <w:gridCol w:w="109"/>
        <w:gridCol w:w="109"/>
        <w:gridCol w:w="930"/>
        <w:gridCol w:w="930"/>
        <w:gridCol w:w="933"/>
        <w:gridCol w:w="109"/>
        <w:gridCol w:w="109"/>
        <w:gridCol w:w="109"/>
        <w:gridCol w:w="510"/>
        <w:gridCol w:w="511"/>
        <w:gridCol w:w="660"/>
      </w:tblGrid>
      <w:tr>
        <w:trPr/>
        <w:tc>
          <w:tcPr>
            <w:tcW w:w="109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Awards</w:t>
            </w:r>
          </w:p>
        </w:tc>
      </w:tr>
      <w:tr>
        <w:trPr/>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Contract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12.75</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1,503,662</w:t>
            </w:r>
            <w:r>
              <w:rPr>
                <w:color w:val="000000"/>
              </w:rPr>
              <w:t>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2,264,061 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(657,936)</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Forfeited /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(214,389)</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7.07</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2,895,398</w:t>
            </w:r>
            <w:r>
              <w:rPr>
                <w:color w:val="000000"/>
              </w:rPr>
              <w:t>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i/>
          <w:color w:val="000000"/>
          <w:sz w:val="19"/>
        </w:rPr>
      </w:pPr>
      <w:r>
        <w:rPr>
          <w:rFonts w:ascii="Arial;sans-serif" w:hAnsi="Arial;sans-serif"/>
          <w:b w:val="false"/>
          <w:i/>
          <w:color w:val="000000"/>
          <w:sz w:val="19"/>
        </w:rPr>
        <w:t>Employee Stock Purchase Plan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Company’s 2024 Employee Stock Purchase Plan (the “2024 ESPP”) allows employees to designate up to 15% of their base compensation, subject to legal restrictions and limitations, to purchase shares of common stock at 85% of the lesser of the fair market value at the beginning of the offering period or the purchase date. Under the 2024 ESPP, the first offering began on August 1, 2024, and ended on the purchase date of November 30, 2024. The second offering began on December 1, 2024, and ended on the purchase date of May 31, 2025. The third offering began on June 1, 2025, and ends on the purchase date of November 30, 2025. The Company’s Compensation Committee shall have the discretion to provide for the automatic termination of an Offering following any Purchase Date on which the Fair Market Value of a Share is equal to or less than the Fair Market Value of a Share on the Offering Date, and for the Participants in the terminated Offering to be automatically re-enrolled in a new Offering that commences immediately after such Purchase Date.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Pursuant to the second offering, 91,632 were shares purchased, at a weighted average purchase price of $3.94, resulting in $0.4 million in cash proceeds during the six months ended June 30, 2025. As of June 30, 2025, unrecognized stock-based compensation cost related to awards granted under the 2024 ESPP totaled $0.1 million, which is expected to be recognized over a remaining period of five months.</w:t>
      </w:r>
    </w:p>
    <w:p>
      <w:pPr>
        <w:pStyle w:val="TextBody"/>
        <w:bidi w:val="0"/>
        <w:spacing w:before="0" w:after="190"/>
        <w:jc w:val="both"/>
        <w:rPr/>
      </w:pPr>
      <w:r>
        <w:rPr/>
      </w:r>
    </w:p>
    <w:p>
      <w:pPr>
        <w:pStyle w:val="TextBody"/>
        <w:bidi w:val="0"/>
        <w:spacing w:before="0" w:after="1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8430"/>
                <wp:effectExtent l="0" t="0" r="0" b="0"/>
                <wp:wrapNone/>
                <wp:docPr id="19" name="Frame19"/>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17</w:t>
                      </w:r>
                    </w:p>
                  </w:txbxContent>
                </v:textbox>
                <w10:wrap type="none"/>
              </v:rect>
            </w:pict>
          </mc:Fallback>
        </mc:AlternateContent>
      </w:r>
    </w:p>
    <w:p>
      <w:pPr>
        <w:pStyle w:val="TextBody"/>
        <w:bidi w:val="0"/>
        <w:spacing w:before="0" w:after="190"/>
        <w:jc w:val="both"/>
        <w:rPr/>
      </w:pPr>
      <w:r>
        <w:rPr/>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i/>
          <w:color w:val="000000"/>
          <w:sz w:val="19"/>
        </w:rPr>
      </w:pPr>
      <w:r>
        <w:rPr>
          <w:rFonts w:ascii="Arial;sans-serif" w:hAnsi="Arial;sans-serif"/>
          <w:b w:val="false"/>
          <w:i/>
          <w:color w:val="000000"/>
          <w:sz w:val="19"/>
        </w:rPr>
        <w:t xml:space="preserve">Stock-based Compensation Expense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issues RSUs to its employees, directors and service providers. The RSUs awarded under the 2014 Plan generally had two vesting requirements, a Time-Based Requirement and a Liquidity Event Requirement. The Liquidity Event Requirement would be satisfied as to any then-outstanding RSUs on the first to occur of: (1) a change in control event (as defined in the award agreement); or (2) the first sale of common stock pursuant to an underwritten IPO, in either case, within 10 years of the grant date. The Liquidity Event Requirement was satisfied upon the consummation of the IPO on May 13, 2024. The Time-Based Requirement generally requires four years for full vesting of the grants, with 25% vesting after one year and quarterly vesting over the subsequent three years. Certain grants have had modified time-based vesting requirements, including certain grants that have been issued with the Time-Based Requirement satisfied on the grant date. The Company recognizes its stock-based compensation expense ratably over the requisite service period, which is generally four years.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Prior to the consummation of the IPO, the Company did not record stock-based compensation expense for the RSUs, as the Liquidity Event Requirement was not deemed probable. Upon the consummation of the IPO, the Liquidity Event Requirement was met, and the Company incurred stock-based compensation expense associated with (i) RSUs granted to active employees and service providers, (ii) RSUs granted to certain former employees and service providers whose RSUs vested in connection with the Liquidity Event, and (iii) the acceleration of the Time Based Requirement for certain awards to executive officers, senior management and directors as a result of the Liquidity Event.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November 2023, the Company issued 30,000 RSUs with certain performance-based conditions, in addition to the Time-Based Requirement, and 75,000 RSUs with certain market-based conditions, in addition to the Time Based Requirement and the Liquidity Event Requirement. Due to the departure of the grantee from the Company in April 2025, the RSUs were forfeited and the Company reversed the stock-based compensation expense that was previously recognized for the unvested RSUs. The reversal was immaterial for the three and six months ended June 30, 2025.</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recorded total stock-based compensation expense of $2.1 million and $4.4 million during the three and six months ended June 30, 2025, respectively, and $21.8 million during the three and six months ended June 30, 2024, respectively, for the service periods through such dates using the straight-line attribution method, net of actual forfeitures, based on the grant-date fair value of the RSU awards. The following table summarizes stock-based compensation expense by function for the three and six months ended June 30, 2025 and 2024:</w:t>
      </w:r>
    </w:p>
    <w:tbl>
      <w:tblPr>
        <w:tblW w:w="7682" w:type="dxa"/>
        <w:jc w:val="left"/>
        <w:tblInd w:w="0" w:type="dxa"/>
        <w:tblLayout w:type="fixed"/>
        <w:tblCellMar>
          <w:top w:w="28" w:type="dxa"/>
          <w:left w:w="28" w:type="dxa"/>
          <w:bottom w:w="28" w:type="dxa"/>
          <w:right w:w="28" w:type="dxa"/>
        </w:tblCellMar>
      </w:tblPr>
      <w:tblGrid>
        <w:gridCol w:w="903"/>
        <w:gridCol w:w="792"/>
        <w:gridCol w:w="795"/>
        <w:gridCol w:w="219"/>
        <w:gridCol w:w="672"/>
        <w:gridCol w:w="113"/>
        <w:gridCol w:w="113"/>
        <w:gridCol w:w="113"/>
        <w:gridCol w:w="113"/>
        <w:gridCol w:w="219"/>
        <w:gridCol w:w="781"/>
        <w:gridCol w:w="113"/>
        <w:gridCol w:w="109"/>
        <w:gridCol w:w="109"/>
        <w:gridCol w:w="109"/>
        <w:gridCol w:w="211"/>
        <w:gridCol w:w="646"/>
        <w:gridCol w:w="109"/>
        <w:gridCol w:w="109"/>
        <w:gridCol w:w="109"/>
        <w:gridCol w:w="109"/>
        <w:gridCol w:w="211"/>
        <w:gridCol w:w="751"/>
        <w:gridCol w:w="154"/>
      </w:tblGrid>
      <w:tr>
        <w:trPr/>
        <w:tc>
          <w:tcPr>
            <w:tcW w:w="9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Sales and marketing</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2,120 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21,829 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21,829 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June 30, 2025, the Company had unrecognized stock-based compensation expense of $18.4 million which is expected to be recognized over a weighted average period of 2.6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9. Income Taxes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During the three and six months ended June 30, 2025, the Company recorded an income tax (benefit) provision of $(0.5) million and $(0.3) million, respectively, as compared to $0.2 million and $1.0 million during the three and six months ended June 30, 2024, respectively. The effective tax rate for the three and six months ended June 30, 2025 was 5% and 1%, respectively, as compared to (1)% and (3)% during the three and six months ended June 30,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8430"/>
                <wp:effectExtent l="0" t="0" r="0" b="0"/>
                <wp:wrapNone/>
                <wp:docPr id="20" name="Frame20"/>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18</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 determines its income tax provision for interim periods using an estimate of its annual effective tax rate adjusted for discrete items occurring during the periods presented. The primary difference between its effective tax rate and the federal statutory rate is primarily attributable to state income taxes, foreign income taxes, the effect of certain permanent differences, and full valuation allowance against net deferred tax assets.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 files income tax returns in the U.S. federal jurisdiction, various state jurisdictions and certain foreign jurisdictions. The Company is not currently under audit by the Internal Revenue Service or other similar state, local, and foreign authorities. All tax years remain open to examination by major taxing jurisdictions to which the Company is subject for a period of three years for federal and four years for states, after the utilization of net operating losses and credits.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July 4, 2025, the U.S. enacted H.R. 1 "A bill to provide for reconciliation pursuant to Title II of H. Con. Res. 14", commonly referred to as the One Big Beautiful Bill (“H.R. 1”). The enactment of H.R. 1 is not expected to have a material impact on the Company’s tax position or consolidated financial statements.</w:t>
      </w:r>
    </w:p>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10. Segment Reporting</w:t>
      </w:r>
    </w:p>
    <w:p>
      <w:pPr>
        <w:pStyle w:val="TextBody"/>
        <w:bidi w:val="0"/>
        <w:spacing w:lineRule="auto" w:line="288" w:before="0" w:after="190"/>
        <w:jc w:val="both"/>
        <w:rPr/>
      </w:pPr>
      <w:r>
        <w:rPr>
          <w:rFonts w:ascii="Arial;sans-serif" w:hAnsi="Arial;sans-serif"/>
          <w:b w:val="false"/>
          <w:color w:val="000000"/>
          <w:sz w:val="19"/>
        </w:rPr>
        <w:t xml:space="preserve">The Company manages its operations through an evaluation of a consolidated business segment that solves semiconductor design challenges by offering affordable and competitive TCAD software, EDA software and design IP to support engineers and researchers across the globe. The chief operating decision maker (“CODM”), who is the Company’s Chief Executive Officer, Dr. Babak A. Taheri, </w:t>
      </w:r>
      <w:r>
        <w:rPr>
          <w:rFonts w:ascii="Arial;sans-serif" w:hAnsi="Arial;sans-serif"/>
          <w:b w:val="false"/>
          <w:color w:val="000000"/>
          <w:sz w:val="19"/>
          <w:shd w:fill="FFFFFF" w:val="clear"/>
        </w:rPr>
        <w:t xml:space="preserve">reviews financial information presented on a consolidated basis for purposes of allocating resources and evaluating financial performance. As such, the Company’s operations constitute a single operating segment and </w:t>
      </w:r>
      <w:r>
        <w:rPr>
          <w:rFonts w:ascii="Arial;sans-serif" w:hAnsi="Arial;sans-serif"/>
          <w:b w:val="false"/>
          <w:color w:val="000000"/>
          <w:sz w:val="19"/>
        </w:rPr>
        <w:t>one reportable segment.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presents a summary of revenue, payroll expenses, which the CODM reviews in assessing Company performance and deciding how to allocate resources, and total other expenses as a reconciliation to consolidated net loss for the three and six months ended June 30, 2025 and 2024.</w:t>
      </w:r>
    </w:p>
    <w:tbl>
      <w:tblPr>
        <w:tblW w:w="7946" w:type="dxa"/>
        <w:jc w:val="left"/>
        <w:tblInd w:w="0" w:type="dxa"/>
        <w:tblLayout w:type="fixed"/>
        <w:tblCellMar>
          <w:top w:w="28" w:type="dxa"/>
          <w:left w:w="28" w:type="dxa"/>
          <w:bottom w:w="28" w:type="dxa"/>
          <w:right w:w="28" w:type="dxa"/>
        </w:tblCellMar>
      </w:tblPr>
      <w:tblGrid>
        <w:gridCol w:w="772"/>
        <w:gridCol w:w="677"/>
        <w:gridCol w:w="680"/>
        <w:gridCol w:w="109"/>
        <w:gridCol w:w="109"/>
        <w:gridCol w:w="109"/>
        <w:gridCol w:w="211"/>
        <w:gridCol w:w="751"/>
        <w:gridCol w:w="109"/>
        <w:gridCol w:w="109"/>
        <w:gridCol w:w="109"/>
        <w:gridCol w:w="109"/>
        <w:gridCol w:w="211"/>
        <w:gridCol w:w="811"/>
        <w:gridCol w:w="109"/>
        <w:gridCol w:w="109"/>
        <w:gridCol w:w="109"/>
        <w:gridCol w:w="109"/>
        <w:gridCol w:w="211"/>
        <w:gridCol w:w="811"/>
        <w:gridCol w:w="109"/>
        <w:gridCol w:w="109"/>
        <w:gridCol w:w="109"/>
        <w:gridCol w:w="109"/>
        <w:gridCol w:w="211"/>
        <w:gridCol w:w="811"/>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30,849 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Payroll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40,861 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All 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26,998 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67,859 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(9,409)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(38,388)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(28,682)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(37,010)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11. Commitments and Contingencies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Warranties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typically provides its customers a warranty on its software licenses for a period of no more than 90 days and on its other tools for a period of no more than one year. Such warranties are accounted for in accordance with the authoritative guidance issued by the FASB on contingencies. For the three and six months ended June 30, 2025, and 2024, the Company has not incurred any costs related to warranty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8430"/>
                <wp:effectExtent l="0" t="0" r="0" b="0"/>
                <wp:wrapNone/>
                <wp:docPr id="21" name="Frame21"/>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19</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Indemnification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Under the terms of substantially all of its license agreements, the Company has agreed to indemnify its customers for costs and damages arising from claims against such customers based on, among other things, allegations that the Company’s software infringes the intellectual property rights of a third party. In most cases, in the event of an infringement claim, the Company retains the right to (i) procure for the customer the right to continue using the software; (ii) replace or modify the software to eliminate the infringement while providing substantially equivalent functionality; or (iii) if neither (i) nor (ii) can be reasonably achieved, the Company may terminate the license agreement and refund to the customer a pro-rata portion of the license fee paid to the Company. Such indemnification provisions are accounted for in accordance with the authoritative guidance issued by the FASB on guarantees. From time to time, in the ordinary course of business, the Company receives claims for indemnification.</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Contingencies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December 2020, the Company sought declaratory relief in the California Superior Court to clarify its obligations regarding the earnout payments due to the former stockholders of Nangate following its acquisition by the Company in 2018. The Nangate Parties subsequently filed a cross-complaint against the Company and the Co-Defendants seeking $20.0 million in damages for breach of contract, fraud, and unfair business practices, as well as punitive damages.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July 23, 2024, a jury awarded the Nangate Parties $11.3 million in damages under breach of contract related claims, including breach of contract and breach of the covenant of good faith and fair dealing and court and litigation related costs and expenses to be determined by the court (the “Contract Damages”). As a result, during the year ended December 31, 2024, the Company recorded a charge to litigation settlement and accrued expenses and other current liabilities of $11.3 million for the Contract Damages awarded to the Nangate Parties.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jury also found the Company and the Co-Defendants liable for certain of the misrepresentation claims and awarded the Nangate Parties $6.6 million in compensatory damages, for which the Company and the Co-Defendants were joint and severally liable. Incremental punitive damages relating to these claims, including $17.0 million payable by the Company and a total of $16.0 million to be paid by the Co-Defendants, were awarded following a hearing on August 16, 2024 (collectively, the “Fraud Damages”). Under California law, the Nangate Parties were entitled to elect either the Contract Damages or the Fraud Damages but could not receive both. </w:t>
      </w:r>
    </w:p>
    <w:p>
      <w:pPr>
        <w:pStyle w:val="TextBody"/>
        <w:bidi w:val="0"/>
        <w:spacing w:lineRule="auto" w:line="288" w:before="0" w:after="190"/>
        <w:jc w:val="both"/>
        <w:rPr/>
      </w:pPr>
      <w:r>
        <w:rPr>
          <w:rFonts w:ascii="Arial;sans-serif" w:hAnsi="Arial;sans-serif"/>
          <w:b w:val="false"/>
          <w:color w:val="000000"/>
          <w:sz w:val="19"/>
        </w:rPr>
        <w:t xml:space="preserve">In May 2025, the parties entered into the Settlement Agreement pursuant to which the Company and the Co-Defendants agreed to pay the Nangate Parties’ an aggregate amount of $32.5 million in full resolution of all claims. In connection with the Settlement Agreement, the Company recorded an additional charge to litigation settlement and accrued expenses and other current liabilities of $13.1 million for the six months ended June 30, 2025. As of June 30, 2025, the Company’s remaining liability under the Settlement Payment was $14.4 million, which is included in accrued expenses and other current liabilities on the condensed consolidated balance sheet. In the event that the Co-Defendants do not satisfy their obligation under the Settlement Agreement, the Company will assume payment of the Co-Defendants litigation settlement obligation of $2.1 million to avoid a default under the Settlement Agreement. In such unlikely circumstance, the Company expects to seek remedies from the Co-Defendants under the apportionment agreement. Refer to </w:t>
      </w:r>
      <w:hyperlink w:anchor="i996aa8cb66ad41bcb8b74e1704a963fe_49">
        <w:r>
          <w:rPr>
            <w:rStyle w:val="InternetLink"/>
            <w:rFonts w:ascii="Arial;sans-serif" w:hAnsi="Arial;sans-serif"/>
            <w:b w:val="false"/>
            <w:color w:val="0000FF"/>
            <w:sz w:val="19"/>
            <w:u w:val="single"/>
          </w:rPr>
          <w:t>Note 6</w:t>
        </w:r>
      </w:hyperlink>
      <w:r>
        <w:rPr>
          <w:rFonts w:ascii="Arial;sans-serif" w:hAnsi="Arial;sans-serif"/>
          <w:b w:val="false"/>
          <w:color w:val="000000"/>
          <w:sz w:val="19"/>
        </w:rPr>
        <w:t xml:space="preserve">,, Related Parties, for further information. </w:t>
      </w:r>
    </w:p>
    <w:p>
      <w:pPr>
        <w:pStyle w:val="TextBody"/>
        <w:bidi w:val="0"/>
        <w:spacing w:lineRule="auto" w:line="288" w:before="0" w:after="190"/>
        <w:jc w:val="both"/>
        <w:rPr/>
      </w:pPr>
      <w:r>
        <w:rPr>
          <w:rFonts w:ascii="Arial;sans-serif" w:hAnsi="Arial;sans-serif"/>
          <w:b w:val="false"/>
          <w:color w:val="000000"/>
          <w:sz w:val="19"/>
        </w:rPr>
        <w:t xml:space="preserve">As of June 30, 2025, the Company held restricted cash of $16.5 million to secure an irrevocable standby letter of credit issued in connection the Settlement Agreement. Refer to </w:t>
      </w:r>
      <w:hyperlink w:anchor="i996aa8cb66ad41bcb8b74e1704a963fe_37">
        <w:r>
          <w:rPr>
            <w:rStyle w:val="InternetLink"/>
            <w:rFonts w:ascii="Arial;sans-serif" w:hAnsi="Arial;sans-serif"/>
            <w:b w:val="false"/>
            <w:color w:val="0000FF"/>
            <w:sz w:val="19"/>
            <w:u w:val="single"/>
          </w:rPr>
          <w:t>Note 2</w:t>
        </w:r>
      </w:hyperlink>
      <w:r>
        <w:rPr>
          <w:rFonts w:ascii="Arial;sans-serif" w:hAnsi="Arial;sans-serif"/>
          <w:b w:val="false"/>
          <w:color w:val="000000"/>
          <w:sz w:val="19"/>
        </w:rPr>
        <w:t xml:space="preserve">, Summary of Significant Accounting and Reporting Policies, for additional details.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is subject export control and import laws and regulations of the United States and other applicable jurisdictions, including the Export Administration Regulations. Between August 2019 and June 2022, the Company filed voluntary self-disclosures with U.S. Department of Commerce, Bureau of Industry and Security (“BIS”) regarding potential violations of U.S. export control laws and regulations, specifically, the export of the Company’s licenses to certain parties designated on BIS’s Entity List and Unverified List, and the export of certain software modules without a license which was required at the time of the transaction. Such software modules were declassified by BIS in October 2020 to a lesser controlled export classification, meaning that such software generally no longer requires an export license. In April 2025, BIS issued a warning letter in response to the voluntary self-disclosures instead of pursuing criminal or administrative penalties or taking other enforcement action. However, as is common in these instances, BIS reserved the right to take future enforcement action should additional information warrant renewed attention.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8430"/>
                <wp:effectExtent l="0" t="0" r="0" b="0"/>
                <wp:wrapNone/>
                <wp:docPr id="22" name="Frame22"/>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20</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is party to various litigation matters and claims arising from time-to-time in the ordinary course of business. While the results of such matters cannot be predicted with certainty, unless disclosed above, the Company believes that the final outcome of such matters will not have a material adverse effect on the Company’s business, financial condition, results of operations or cash flows. However, each of these matters is subject to various uncertainties and it is possible that an unfavorable resolution of one or more of these proceedings could materially affect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12. Fair Value of Financial Instruments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Financial instruments measured at fair value on a recurring basis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tables present the Company's financial assets and liabilities that are measured at estimated fair value on a recurring basis as of June 30, 2025 and December 31, 2024:</w:t>
      </w:r>
    </w:p>
    <w:tbl>
      <w:tblPr>
        <w:tblW w:w="8979" w:type="dxa"/>
        <w:jc w:val="left"/>
        <w:tblInd w:w="0" w:type="dxa"/>
        <w:tblLayout w:type="fixed"/>
        <w:tblCellMar>
          <w:top w:w="28" w:type="dxa"/>
          <w:left w:w="28" w:type="dxa"/>
          <w:bottom w:w="28" w:type="dxa"/>
          <w:right w:w="28" w:type="dxa"/>
        </w:tblCellMar>
      </w:tblPr>
      <w:tblGrid>
        <w:gridCol w:w="1302"/>
        <w:gridCol w:w="1147"/>
        <w:gridCol w:w="1151"/>
        <w:gridCol w:w="245"/>
        <w:gridCol w:w="874"/>
        <w:gridCol w:w="126"/>
        <w:gridCol w:w="109"/>
        <w:gridCol w:w="109"/>
        <w:gridCol w:w="109"/>
        <w:gridCol w:w="211"/>
        <w:gridCol w:w="751"/>
        <w:gridCol w:w="109"/>
        <w:gridCol w:w="109"/>
        <w:gridCol w:w="109"/>
        <w:gridCol w:w="109"/>
        <w:gridCol w:w="211"/>
        <w:gridCol w:w="751"/>
        <w:gridCol w:w="109"/>
        <w:gridCol w:w="109"/>
        <w:gridCol w:w="109"/>
        <w:gridCol w:w="109"/>
        <w:gridCol w:w="211"/>
        <w:gridCol w:w="646"/>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Fair value measurements as of June 30, 2025</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Financial assets:</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equivalents: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Money market funds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6,149 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Available-for-sale marketable securities:</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agencies securities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25,853 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32,002</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6,149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25,853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Liabilities:</w:t>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Contingent consideration</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Total</w:t>
            </w:r>
            <w:r>
              <w:rPr>
                <w:color w:val="000000"/>
              </w:rPr>
              <w:t xml:space="preserve">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1,699</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1,699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as of December 31, 2024</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Financial assets:</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equivalents: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Money market funds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13,144 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Available-for-sale marketable securities:</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treasury securities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27,237 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agencies securities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40,619 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67,856 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81,000</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13,144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67,856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Liabilities:</w:t>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Contingent consideration</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Total</w:t>
            </w:r>
            <w:r>
              <w:rPr>
                <w:color w:val="000000"/>
              </w:rPr>
              <w:t xml:space="preserve">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Company's level 1 financial assets were valued using quoted prices in active markets for identical assets as of June 30, 2025 and December 31, 2024. The Company’s level 2 financial assets were determined based on third-party inputs which are either directly or indirectly observable, such as reported trades and broker or dealer quotes. The Company's marketable securities have an amortized cost that approximates fair value as of June 30, 2025 and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8430"/>
                <wp:effectExtent l="0" t="0" r="0" b="0"/>
                <wp:wrapNone/>
                <wp:docPr id="23" name="Frame2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21</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Pursuant to the Company’s stock purchase agreements for the acquisition of Nangate in March of 2018, PolytEDA Cloud LLC in January of 2021 and Tech-X Corporation in April of 2025, the former shareholders are entitled to additional milestone and earn out consideration based on operating income generated by the business and technical achievements. The milestone consideration and earn-out liabilities are classified as contingent consideration as the obligations are due in cash. As such the obligations are recorded at their fair value and re-valued period to period with any changes recorded to interest and other expense, net in the condensed consolidated statements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Company's contingent consideration is valued using a discounted cash flow model, and the assumptions used in preparing the discounted cash flow model include estimates for interest rates and the amount of cash flows, in addition to the expected net revenue, operating income and technical achievement of the acquired technology.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is a reconciliation of changes in the liability related to contingent consideration during the six months ended June 30, 2025 and 2024:</w:t>
      </w:r>
    </w:p>
    <w:p>
      <w:pPr>
        <w:pStyle w:val="TextBody"/>
        <w:bidi w:val="0"/>
        <w:spacing w:before="0" w:after="190"/>
        <w:jc w:val="both"/>
        <w:rPr/>
      </w:pPr>
      <w:r>
        <w:rPr/>
      </w:r>
    </w:p>
    <w:tbl>
      <w:tblPr>
        <w:tblW w:w="4919" w:type="dxa"/>
        <w:jc w:val="left"/>
        <w:tblInd w:w="0" w:type="dxa"/>
        <w:tblLayout w:type="fixed"/>
        <w:tblCellMar>
          <w:top w:w="28" w:type="dxa"/>
          <w:left w:w="28" w:type="dxa"/>
          <w:bottom w:w="28" w:type="dxa"/>
          <w:right w:w="28" w:type="dxa"/>
        </w:tblCellMar>
      </w:tblPr>
      <w:tblGrid>
        <w:gridCol w:w="951"/>
        <w:gridCol w:w="834"/>
        <w:gridCol w:w="840"/>
        <w:gridCol w:w="226"/>
        <w:gridCol w:w="693"/>
        <w:gridCol w:w="117"/>
        <w:gridCol w:w="117"/>
        <w:gridCol w:w="117"/>
        <w:gridCol w:w="117"/>
        <w:gridCol w:w="226"/>
        <w:gridCol w:w="516"/>
        <w:gridCol w:w="16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Fair value as of January 1,</w:t>
            </w:r>
            <w:r>
              <w:rPr>
                <w:color w:val="000000"/>
              </w:rPr>
              <w:t xml:space="preserve">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112</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 in fair value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Earn-out payments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Acquisitions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Fair value as of June 30,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1,699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72</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13. Subsequent Events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August 1, 2025, the Company, Mixel Group, Inc., a California corporation (“Mixel”), the stockholders of Mixel, and the stockholders' representative consummated a Stock Purchase Agreement, dated July 29, 2025, pursuant to which the Company acquired all of the outstanding shares of common stock of Mixel for a preliminary aggregate purchase price of $22.0 million, payable in cash of $19.0 million and shares of the Company of $3.0 million. The Company’s initial accounting for this acquisition is in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8430"/>
                <wp:effectExtent l="0" t="0" r="0" b="0"/>
                <wp:wrapNone/>
                <wp:docPr id="24" name="Frame2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22</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Cautionary Statements Regarding Forward-Looking Information</w:t>
      </w:r>
    </w:p>
    <w:p>
      <w:pPr>
        <w:pStyle w:val="TextBody"/>
        <w:bidi w:val="0"/>
        <w:spacing w:lineRule="auto" w:line="288" w:before="0" w:after="190"/>
        <w:jc w:val="both"/>
        <w:rPr>
          <w:rFonts w:ascii="Arial;sans-serif" w:hAnsi="Arial;sans-serif"/>
          <w:b w:val="false"/>
          <w:i/>
          <w:color w:val="000000"/>
          <w:sz w:val="19"/>
        </w:rPr>
      </w:pPr>
      <w:r>
        <w:rPr>
          <w:rFonts w:ascii="Arial;sans-serif" w:hAnsi="Arial;sans-serif"/>
          <w:b w:val="false"/>
          <w:i/>
          <w:color w:val="000000"/>
          <w:sz w:val="19"/>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2024 included in the Annual Report on Form 10-K for the fiscal year ended December 31, 2024 (the “2024 Form 10-K”). This Quarterly Report on Form 10-Q contains forward-looking statements that involve risks, uncertainties and assumptions set forth in our 2024 Form 10-K. Our actual results could differ materially from those discussed in or implied by these forward-looking statements. Factors that could cause or contribute to such differences include, but are not limited to, those discussed in this Quarterly Report on Form 10-Q titled “Risk Factors.” Forward-looking statements may be identified by words including, but not limited to, “may,” “will,” “could,” “would,” “can,” “should,” “anticipate,” “expect,” “intend,” “believe,” “estimate,” “project,” “continue,” “forecast,” "likely," "potential," "seek," or the negatives of such terms and similar expressions. The information included herein represents our estimates and assumptions as of the date of this filing. Unless required by law, we undertake no obligation to update publicly any forward-looking statements, or to update the reasons actual results could differ materially from those anticipated in these forward-looking statements, even if new information becomes available in the future.</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are a provider of technology computer aided design (“TCAD”) software, electronic data automation (“EDA”) software and semiconductor intellectual property (“SIP”). TCAD, EDA and SIP solutions enable semiconductor and photonics companies to increase productivity, accelerate their products’ time-to-market and reduce their development and manufacturing costs. We have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We provide SIP for system-on-a-chip (“SoC”) and integrated circuits (“ICs”), and SIP management tools to enable team collaborations on complex SoC designs. Our customers include semiconductor manufacturers, original equipment manufacturers (“OEMs”) and design teams who deploy our solutions in production flows across our target markets, including display, power devices, automotive, memory, high performance computing (“HPC”), internet of things (“IoT”) and 5G/6G mobile markets.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EDA offerings, including our solutions, enable companies to streamline their IC design workflows, develop complex IC designs in a cost-efficient manner, and maintain acceptable IC manufacturing yield, by providing interoperable tools that capture and simulate designs from concept to analysis. Our TCAD device and process simulation tools provide compatible data structures that can be used with our EDA modeling, analysis, simulation, verification and yield enhancement tools. Further, our EDA tools are used for designing SIP and IC designs that can be managed and validated by our SIP management tools.</w:t>
      </w:r>
    </w:p>
    <w:p>
      <w:pPr>
        <w:pStyle w:val="TextBody"/>
        <w:bidi w:val="0"/>
        <w:spacing w:lineRule="auto" w:line="288" w:before="0" w:after="190"/>
        <w:jc w:val="both"/>
        <w:rPr/>
      </w:pPr>
      <w:r>
        <w:rPr>
          <w:rFonts w:ascii="Arial;sans-serif" w:hAnsi="Arial;sans-serif"/>
          <w:b w:val="false"/>
          <w:color w:val="000000"/>
          <w:sz w:val="19"/>
        </w:rPr>
        <w:t>Our go-to-market strategy focuses on selling software solutions along with associated maintenance and services. Software solutions represented 60% and 66% of our revenue for the three and six months ended June 30, 2025, respectively, compared to 74% and 75% for the same periods in 2024. Revenue from associated maintenance and services accounted for 40% and 34% of our revenue for the three and six months ended June 30, 2025, respectively, compared to 26% and 25% for the corresponding periods in 2024. Approximately 70% and 73% of our bookings were attributable to existing customers for the three and six months ended June 30, 2025, respectively, compared to 91% and 89% for the same periods in 2024. See “</w:t>
      </w:r>
      <w:hyperlink w:anchor="ie5c6bb8b095847bc80050155a8135e47_46631">
        <w:r>
          <w:rPr>
            <w:rStyle w:val="InternetLink"/>
            <w:rFonts w:ascii="Arial;sans-serif" w:hAnsi="Arial;sans-serif"/>
            <w:b w:val="false"/>
            <w:color w:val="0000FF"/>
            <w:sz w:val="19"/>
            <w:u w:val="single"/>
          </w:rPr>
          <w:t>Key Operating Indicators and Non-GAAP Financial Measures—Bookings</w:t>
        </w:r>
      </w:hyperlink>
      <w:r>
        <w:rPr>
          <w:color w:val="000000"/>
        </w:rPr>
        <w:t xml:space="preserve">” </w:t>
      </w:r>
      <w:r>
        <w:rPr>
          <w:rFonts w:ascii="Arial;sans-serif" w:hAnsi="Arial;sans-serif"/>
          <w:b w:val="false"/>
          <w:color w:val="000000"/>
          <w:sz w:val="19"/>
        </w:rPr>
        <w:t>for a description of how we define bookings.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Similar to trends observed across the semiconductor industry, we saw a decline in orders during the three and six ended June 30, 2025 primarily driven by softer end market demand. During the three and six months ended June 30, 2025, our bookings were $12.9 million and $26.6 million, respectively, as compared to $19.5 million and $35.6 million for the same periods in 2024. Our revenue was $12.0 million and $26.1 million for the three and six months ended June 30, 2025, respectively, as compared to $15.0 million and $30.8 million for the corresponding periods in 2024. </w:t>
      </w:r>
    </w:p>
    <w:p>
      <w:pPr>
        <w:pStyle w:val="TextBody"/>
        <w:bidi w:val="0"/>
        <w:spacing w:before="60" w:after="80"/>
        <w:jc w:val="left"/>
        <w:rPr/>
      </w:pPr>
      <w:r>
        <w:rPr/>
      </w:r>
    </w:p>
    <w:p>
      <w:pPr>
        <w:pStyle w:val="TextBody"/>
        <w:bidi w:val="0"/>
        <w:spacing w:before="60" w:after="80"/>
        <w:jc w:val="left"/>
        <w:rPr/>
      </w:pPr>
      <w:r>
        <w:rPr/>
      </w:r>
    </w:p>
    <w:p>
      <w:pPr>
        <w:pStyle w:val="TextBody"/>
        <w:bidi w:val="0"/>
        <w:spacing w:before="60" w:after="80"/>
        <w:jc w:val="left"/>
        <w:rPr/>
      </w:pPr>
      <w:r>
        <w:rPr/>
      </w:r>
    </w:p>
    <w:p>
      <w:pPr>
        <w:pStyle w:val="TextBody"/>
        <w:bidi w:val="0"/>
        <w:spacing w:before="60" w:after="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before="60" w:after="80"/>
        <w:jc w:val="left"/>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Recent Acquisitions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March 4, 2025, we consummated an asset purchase agreement with Cadence Design Systems, Inc. (“Cadence”), pursuant to which, among other things, we agreed to acquire certain assets and assume certain liabilities comprising Cadence’s Process Proximity Compensation product line, an optical proximity correction suite of tools (the “OPC Business”), in exchange for $11.5 million in cash.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April 29, 2025, we entered into a stock Purchase Agreement with the shareholders of Tech-X Corporation (“Tech-X”), pursuant to which we acquired all of the outstanding shares of Tech-X for an aggregate purchase price of $8.0 million. The purchase consideration consisted of (i) $3.9 million in cash, (ii) 457,666 shares of the Company’s common stock with a fair value of $2.4 million on the closing date, and (iii) contingent consideration, with a maximum payout of $2.0 million, and with an estimated fair value of $1.7 million, payable in cash upon the achievement of specified technical milestones through December 2026. </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Key Factors Affecting our Results of Operations and Future Performance</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Current Economic Conditions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Worldwide economic and political uncertainties and negative trends, including financial and credit market fluctuations, tariffs and increasing trade protectionism, interest rates, inflation and other impacts from the macroeconomic environment may continue to adversely affect our business operations and financial results. We continue to monitor the direct and indirect impacts of these circumstances, particularly with respect to the broader implications of the uncertainty about the future relationship between the U.S. and its trading partners, including with respect to the trade policies and agreements, treaties, government regulations and tariffs that could apply to trade between the U.S. and other nations. The imposition of tariffs and political tensions as a result of trade policies, including with respect to China in particular, and the impact of worsening macroeconomic conditions and political events on our business, results of operations and overall financial position, remain uncertain.</w:t>
      </w:r>
    </w:p>
    <w:p>
      <w:pPr>
        <w:pStyle w:val="TextBody"/>
        <w:bidi w:val="0"/>
        <w:spacing w:lineRule="auto" w:line="288" w:before="0" w:after="190"/>
        <w:jc w:val="both"/>
        <w:rPr/>
      </w:pPr>
      <w:r>
        <w:rPr>
          <w:rFonts w:ascii="Arial;sans-serif" w:hAnsi="Arial;sans-serif"/>
          <w:b w:val="false"/>
          <w:color w:val="000000"/>
          <w:sz w:val="19"/>
        </w:rPr>
        <w:t xml:space="preserve">We believe that the growth of our business and our future success are dependent upon many factors including those described above and elsewhere in this quarterly report and those described below. While the factors set forth below present significant opportunities for us, these factors also pose challenges that we must successfully address to sustain the growth of our business and enhance our results of operations. The growth of our business and our future success are also subject to uncertainties and risks as described in Part II, Item 1.A., </w:t>
      </w:r>
      <w:r>
        <w:rPr>
          <w:rFonts w:ascii="Arial;sans-serif" w:hAnsi="Arial;sans-serif"/>
          <w:b w:val="false"/>
          <w:i/>
          <w:color w:val="000000"/>
          <w:sz w:val="19"/>
        </w:rPr>
        <w:t>Risk Factors</w:t>
      </w:r>
      <w:r>
        <w:rPr>
          <w:color w:val="000000"/>
        </w:rPr>
        <w:t xml:space="preserve"> </w:t>
      </w:r>
      <w:r>
        <w:rPr>
          <w:rFonts w:ascii="Arial;sans-serif" w:hAnsi="Arial;sans-serif"/>
          <w:b w:val="false"/>
          <w:color w:val="000000"/>
          <w:sz w:val="19"/>
        </w:rPr>
        <w:t>of this Quarterly Report on Form 10-Q.</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Relationships with Our Existing Customers </w:t>
      </w:r>
    </w:p>
    <w:p>
      <w:pPr>
        <w:pStyle w:val="TextBody"/>
        <w:bidi w:val="0"/>
        <w:spacing w:lineRule="auto" w:line="288" w:before="0" w:after="190"/>
        <w:jc w:val="both"/>
        <w:rPr/>
      </w:pPr>
      <w:r>
        <w:rPr>
          <w:rFonts w:ascii="Arial;sans-serif" w:hAnsi="Arial;sans-serif"/>
          <w:b w:val="false"/>
          <w:color w:val="000000"/>
          <w:sz w:val="19"/>
          <w:shd w:fill="FFFFFF" w:val="clear"/>
        </w:rPr>
        <w:t xml:space="preserve">Building long-term relationships with our existing customer base is critical in driving renewals for our licenses and overall revenue growth. </w:t>
      </w:r>
      <w:r>
        <w:rPr>
          <w:rFonts w:ascii="Arial;sans-serif" w:hAnsi="Arial;sans-serif"/>
          <w:b w:val="false"/>
          <w:color w:val="000000"/>
          <w:sz w:val="19"/>
        </w:rPr>
        <w:t xml:space="preserve">We have a global sales force selling to semiconductor companies and engineering universities that also instruct fabrication facility managers and the next generation of chip designers on the use and benefits of our design tools. Most of our customers enter into multi-year software license agreements for a fixed price including a multi-year software license and maintenance and services.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When we renew expiring contracts with our customers, we may increase our bookings by selling them additional or new software or SIP. Over time, we expect that existing customers will choose to upgrade and/or purchase additional products, particularly as we de-emphasize our lower margin products, which we expect will over the long term drive margin expansion. Our ability to continue to generate sales from our existing customers and to expand those relationships is dependent on our ability to continue to offer software solutions that our existing customers demand. Any failure to continue to generate sales with our existing customers or expand our product and service offerings with our existing customers may have an adverse effect on our revenue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enter into standard software licensing agreements with each of our customers. Pursuant to these agreements, we grant our customers a non-exclusive, non-transferable limited license, without the right to sublicense, to execute, use and operate certain software. Each party has the right to terminate the software license agreement under certain circumstances, in which event the customer will be required to remove, delete and return all software, related documentation and confidential information furnished under the license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Our Ability to Expand Our Product Offerings</w:t>
      </w:r>
    </w:p>
    <w:p>
      <w:pPr>
        <w:pStyle w:val="TextBody"/>
        <w:bidi w:val="0"/>
        <w:spacing w:lineRule="auto" w:line="288" w:before="0" w:after="190"/>
        <w:jc w:val="both"/>
        <w:rPr/>
      </w:pPr>
      <w:r>
        <w:rPr>
          <w:rFonts w:ascii="Arial;sans-serif" w:hAnsi="Arial;sans-serif"/>
          <w:b w:val="false"/>
          <w:color w:val="000000"/>
          <w:sz w:val="19"/>
        </w:rPr>
        <w:t>To meet the increasing complexity of semiconductor designs, the introduction of new advanced materials, and the increased costs associated with more advanced semiconductor technology nodes, we will need to continually enhance our product offerings through our own in-house research and development efforts, acquisitions, or strategic partnerships with third parties. The in-house development of new product offerings or enhancements to our existing product offerings requires significant research and development activities and time and may or may not result in offerings we can successfully market and sell to customers. For example, we have developed an artificial intelligence (“AI”), -based solution named fab technology co-optimization or FTCO</w:t>
      </w:r>
      <w:r>
        <w:rPr>
          <w:rFonts w:ascii="Arial;sans-serif" w:hAnsi="Arial;sans-serif"/>
          <w:b w:val="false"/>
          <w:color w:val="000000"/>
          <w:sz w:val="12"/>
        </w:rPr>
        <w:t>TM</w:t>
      </w:r>
      <w:r>
        <w:rPr>
          <w:color w:val="000000"/>
        </w:rPr>
        <w:t xml:space="preserve"> </w:t>
      </w:r>
      <w:r>
        <w:rPr>
          <w:rFonts w:ascii="Arial;sans-serif" w:hAnsi="Arial;sans-serif"/>
          <w:b w:val="false"/>
          <w:color w:val="000000"/>
          <w:sz w:val="19"/>
        </w:rPr>
        <w:t>for wafer level fabrication facilities. FTCO utilizes manufacturing data to perform statistical and physics-based machine learning software simulations to create a computer model of a wafer, which we call the “digital twin” of the wafer, in order to simulate the fabrication of wafers. We may also seek to acquire companies or assets for products or solutions which we believe are complementary to our existing products or solutions. Additionally, we currently, and have in the past, and may in the future, partner with third parties to expand our product offerings to our customers. If in the future, we enter into additional licensing agreements with other third parties and are unable to extend the term of those licensing arrangements, we will experience an associated decline in revenue relating to those products.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Our Ability to Expand into New Markets and Applications and Expansion of our Existing Markets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believe that trends in the global EDA software market, including growth in the integrated circuits and electronics manufacturing markets, growing complexity of semiconductor and photonics designs, and increasing challenges associated with advanced materials and shrinking process technology nodes across the EDA market, will increase the demand for our software solutions over time, which will have a direct impact on our future revenues and results of operations. In response to this increase in complexity and new challenges facing designers, we have increased investments in our research and development for new software product offerings. For example, our research and development expense was 49% and 41% of revenue for the three and six months ended June 30, 2025, respectively, and 52% and 37% of revenue for the three and six months ended June 30, 2024, respectively. We plan to continue to invest in our software solutions to establish and expand a leadership position in our target markets. We also plan to use our research and development efforts to continue to cater to strategic customer needs.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drive to increase performance and diversification of applications is further accelerated by a broad-scale transition to cloud-based software applications and computing on mobile platforms. The development of semiconductors that are optimized for specific applications, including AI, 5G/6G communications and IoT, has continued to fuel demand for TCAD and EDA software tools, which in turn fuels demand to develop solutions to meet our markets’ evolving needs. Our ability to successfully generate customer demand amongst new customers and in new markets is dependent on our ability to educate these customers and markets about our software solutions and our ability to generate sufficient new solutions that solve problems for these potential customers. Our ability to continue to expand our product offerings into new markets also requires that we direct our research and development efforts toward value-generating new and existing initiatives. Our future revenues and results of operations will be directly impacted by our ability to produce and provide new software solutions in new and expanding markets.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Our Ability to Successfully Identify, Complete and Integrate Acquisitions </w:t>
      </w:r>
    </w:p>
    <w:p>
      <w:pPr>
        <w:pStyle w:val="TextBody"/>
        <w:bidi w:val="0"/>
        <w:spacing w:lineRule="auto" w:line="288" w:before="0" w:after="190"/>
        <w:jc w:val="both"/>
        <w:rPr/>
      </w:pPr>
      <w:r>
        <w:rPr>
          <w:rFonts w:ascii="Arial;sans-serif" w:hAnsi="Arial;sans-serif"/>
          <w:b w:val="false"/>
          <w:color w:val="000000"/>
          <w:sz w:val="19"/>
          <w:shd w:fill="FFFFFF" w:val="clear"/>
        </w:rPr>
        <w:t xml:space="preserve">Our success depends in part on our ability to identify, complete and integrate acquisitions. Our goal for future potential acquisitions is to pursue acquisitions that will increase our competitiveness in our markets and increase our bookings and revenue. Our ability to successfully identify, complete and integrate acquisitions will depend on a number of factors, including access to adequate capital, potential competition for the assets, and technology fit. </w:t>
      </w:r>
      <w:r>
        <w:rPr>
          <w:rFonts w:ascii="Arial;sans-serif" w:hAnsi="Arial;sans-serif"/>
          <w:b w:val="false"/>
          <w:color w:val="000000"/>
          <w:sz w:val="19"/>
        </w:rPr>
        <w:t>When we engage in mergers and acquisitions, we aim to retain the customers of our acquired companies due to our expanded offerings or improved services. As a result, acquiring target companies is a key part of our growth strategy and may allow us to access and serve a broader range of customers, which ultimately may lead to more bookings, increased revenue growth and expansion in our market share presence.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before="80" w:after="40"/>
        <w:jc w:val="left"/>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Our Ability to Scale While Mitigating Increases in Expenses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If we can execute on our growth strategy and grow our revenue through a combination of new customer growth, upgrades and increased usage of our products by existing customers, as well as accretive acquisitions, our results will be impacted by our ability to reduce the rate at which our expenses increase in proportion with a rise in revenue. We believe this is possible in a number of expense line items, which may provide for additional gross margin and operating margin expansion. For example, we anticipate as our existing customers choose to upgrade to newer software solutions, our costs related to the support of legacy software decreases, outpacing any increases in cost related to supporting the upgraded software. Additionally, we have incurred increased general and administrative expenses in connection with preparing to become a public company, including increased staff costs and professional services fees, including legal and accounting fees. We have also incurred a significant increase in stock-based compensation expense. While we anticipate the increased level of costs to remain, we do not anticipate those costs scaling proportionally with our revenue. Finally, we may be able to gain sales efficiencies as our revenue grows, such that our sales and marketing expenses will decrease as a percentage of revenue. In the aggregate, our ability to keep these expenses from growing proportionally with our revenue may provide for meaningful gross margin and operating margin expansion. </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Components of Results of Operations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is derived from software licensing and maintenance and services. Our customer agreements include combinations of licensed software and maintenance and services, which are accounted for as separate performance obligations with differing revenue recognition patterns. </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Software License Revenue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Revenue from our software licenses is classified as software license revenue. Software license revenue is recognized upfront upon delivery of the licensed product. We also offer licenses of our standard SIP developed in house, and we offer licenses developed in partnership with NXP Semiconductors Netherlands B.V. (“NXP”) (the “NXP IP”). </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 xml:space="preserve">Maintenance and Service Revenue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Typically, our software solutions are sold with post-contract support (“PCS”), which includes unspecified technical enhancements and customer support. PCS is classified as maintenance and service revenue and is recognized ratably over the term of the contract, as we satisfy the PCS performance obligation over time.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also recognized an immaterial portion of our revenue from device characterization and modeling services for the three and six months ended June 30, 2025 and 2024. Revenue is recognized upon the completion of the requested services and, as applicable, satisfaction of customer acceptance terms. Revenue from these services is classified as maintenance and service revenue.</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Cost of Revenue and Gross Profit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Cost of revenue consists of personnel costs comprised of salaries and benefits for employees directly involved in our customer support function, such as customer support engineering salary and benefits, costs of our other customer services, allocation of overhead and facility costs, amortization of acquired intangible assets, and royalties related to the recognized revenue. We recognized $0.4 million and $0.6 million of stock-based compensation expense in cost of revenue during the three and six months ended June 30, 2025, respectively, as compared to $2.5 million for both the three and six months ended June 30, 2024. The decrease was primarily related to stock-based compensation expense recorded during 2024 in connection with the consummation of our initial public offering (“IPO”). We also recognized $0.2 million and $0.5 million of amortization associated with our acquired intangible assets in cost of revenue during the three and six ended June 30, 2025, respectively, compared to $0.2 million for both the three and six months ended June 30, 2024.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Gross profit represents revenue less cost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operating expenses consist of research and development, selling and marketing, general and administrative expenses, and litigation settlement. Related personnel costs are the most significant component of our operating expenses and consist of salaries, benefits, stock-based compensation expense, bonuses and commissions. Our operating expenses also include consulting costs, costs of facilities, information technology, depreciation and amortization. We expect our operating expenses to fluctuate as a percentage of revenue over time. During the three and six months ended June 30, 2025, we recognized $1.8 million and $3.8 million in total stock-based compensation expense, respectively, as compared to $19.4 million for both the three and six months ended June 30, 2024. The decrease was primarily related to stock-based compensation expense recorded during 2024 in connection with the consummation of our IPO.</w:t>
      </w:r>
    </w:p>
    <w:p>
      <w:pPr>
        <w:pStyle w:val="TextBody"/>
        <w:bidi w:val="0"/>
        <w:spacing w:lineRule="auto" w:line="288" w:before="0" w:after="40"/>
        <w:jc w:val="both"/>
        <w:rPr>
          <w:rFonts w:ascii="Arial;sans-serif" w:hAnsi="Arial;sans-serif"/>
          <w:b w:val="false"/>
          <w:color w:val="000000"/>
          <w:sz w:val="19"/>
        </w:rPr>
      </w:pPr>
      <w:r>
        <w:rPr>
          <w:rFonts w:ascii="Arial;sans-serif" w:hAnsi="Arial;sans-serif"/>
          <w:b w:val="false"/>
          <w:color w:val="000000"/>
          <w:sz w:val="19"/>
        </w:rPr>
        <w:t>The following table summarizes stock-based compensation expense by function for the three and six months ended June 30, 2025 and 2024:</w:t>
      </w:r>
    </w:p>
    <w:p>
      <w:pPr>
        <w:pStyle w:val="TextBody"/>
        <w:bidi w:val="0"/>
        <w:spacing w:lineRule="auto" w:line="288" w:before="0" w:after="40"/>
        <w:ind w:left="0" w:right="0" w:hanging="360"/>
        <w:jc w:val="both"/>
        <w:rPr>
          <w:color w:val="000000"/>
        </w:rPr>
      </w:pPr>
      <w:r>
        <w:rPr>
          <w:color w:val="000000"/>
        </w:rPr>
        <w:t>◦</w:t>
      </w:r>
    </w:p>
    <w:tbl>
      <w:tblPr>
        <w:tblW w:w="7682" w:type="dxa"/>
        <w:jc w:val="left"/>
        <w:tblInd w:w="0" w:type="dxa"/>
        <w:tblLayout w:type="fixed"/>
        <w:tblCellMar>
          <w:top w:w="28" w:type="dxa"/>
          <w:left w:w="28" w:type="dxa"/>
          <w:bottom w:w="28" w:type="dxa"/>
          <w:right w:w="28" w:type="dxa"/>
        </w:tblCellMar>
      </w:tblPr>
      <w:tblGrid>
        <w:gridCol w:w="902"/>
        <w:gridCol w:w="793"/>
        <w:gridCol w:w="795"/>
        <w:gridCol w:w="219"/>
        <w:gridCol w:w="672"/>
        <w:gridCol w:w="113"/>
        <w:gridCol w:w="113"/>
        <w:gridCol w:w="113"/>
        <w:gridCol w:w="113"/>
        <w:gridCol w:w="219"/>
        <w:gridCol w:w="781"/>
        <w:gridCol w:w="113"/>
        <w:gridCol w:w="109"/>
        <w:gridCol w:w="109"/>
        <w:gridCol w:w="109"/>
        <w:gridCol w:w="211"/>
        <w:gridCol w:w="646"/>
        <w:gridCol w:w="109"/>
        <w:gridCol w:w="109"/>
        <w:gridCol w:w="109"/>
        <w:gridCol w:w="109"/>
        <w:gridCol w:w="211"/>
        <w:gridCol w:w="751"/>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Sales and marketing</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1,761 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19,362 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40"/>
        <w:ind w:left="0" w:right="0" w:hanging="360"/>
        <w:jc w:val="left"/>
        <w:rPr/>
      </w:pPr>
      <w:r>
        <w:rPr/>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Research and Development</w:t>
      </w:r>
    </w:p>
    <w:p>
      <w:pPr>
        <w:pStyle w:val="TextBody"/>
        <w:bidi w:val="0"/>
        <w:spacing w:lineRule="auto" w:line="288" w:before="0" w:after="190"/>
        <w:jc w:val="both"/>
        <w:rPr/>
      </w:pPr>
      <w:r>
        <w:rPr>
          <w:rFonts w:ascii="Arial;sans-serif" w:hAnsi="Arial;sans-serif"/>
          <w:b w:val="false"/>
          <w:color w:val="000000"/>
          <w:sz w:val="19"/>
          <w:shd w:fill="FFFFFF" w:val="clear"/>
        </w:rPr>
        <w:t xml:space="preserve">Our research and development expense consists primarily of </w:t>
      </w:r>
      <w:r>
        <w:rPr>
          <w:rFonts w:ascii="Arial;sans-serif" w:hAnsi="Arial;sans-serif"/>
          <w:b w:val="false"/>
          <w:color w:val="000000"/>
          <w:sz w:val="19"/>
        </w:rPr>
        <w:t xml:space="preserve">personnel costs </w:t>
      </w:r>
      <w:r>
        <w:rPr>
          <w:rFonts w:ascii="Arial;sans-serif" w:hAnsi="Arial;sans-serif"/>
          <w:b w:val="false"/>
          <w:color w:val="000000"/>
          <w:sz w:val="19"/>
          <w:shd w:fill="FFFFFF" w:val="clear"/>
        </w:rPr>
        <w:t>comprised of salaries, stock-based compensation expense, and benefits for employees directly involved in our research and development efforts</w:t>
      </w:r>
      <w:r>
        <w:rPr>
          <w:rFonts w:ascii="Arial;sans-serif" w:hAnsi="Arial;sans-serif"/>
          <w:b w:val="false"/>
          <w:color w:val="000000"/>
          <w:sz w:val="19"/>
        </w:rPr>
        <w:t>, as well as engineering, quality assessment, other related costs associated with the development of new products, enhancements to existing products, quality assurance and testing and allocated overhead costs. We expense research and development costs as incurred. We believe that continued investment in our software solutions and services is important for our future growth and acquisition of new customers and, as a result, we expect our research and</w:t>
      </w:r>
      <w:r>
        <w:rPr>
          <w:color w:val="000000"/>
          <w:shd w:fill="FFFFFF" w:val="clear"/>
        </w:rPr>
        <w:t xml:space="preserve"> </w:t>
      </w:r>
      <w:r>
        <w:rPr>
          <w:rFonts w:ascii="Arial;sans-serif" w:hAnsi="Arial;sans-serif"/>
          <w:b w:val="false"/>
          <w:color w:val="000000"/>
          <w:sz w:val="19"/>
          <w:shd w:fill="FFFFFF" w:val="clear"/>
        </w:rPr>
        <w:t xml:space="preserve">development expenses to continue to increase, although it may fluctuate as a percentage of revenue from period to period depending on the timing of these expenses. </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Selling and Marketing</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Selling and marketing expense consists of personnel costs comprised of salaries, stock-based compensation expense, benefits, sales commissions, travel costs, and field application engineering directly involved in our selling and marketing efforts, as well as professional and consulting fees, advertising expenses, and allocated overhead costs. We expect selling and marketing expense to continue to increase as we increase our sales and marketing personnel and grow our international operations, although it may fluctuate as a percentage of revenue from period to period depending on the timing of these expenses.</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General and Administrative</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General and administrative expense consists of personnel costs associated with our executive, legal, finance, human resources, information technology and other administrative functions, including salaries, stock-based compensation expense, benefits and bonuses. General and administrative expense also includes professional and consulting fees, accounting fees, legal costs, and allocated overhead costs. We expect general and administrative expense to increase as we expand our finance and administrative personnel, grow our operations, and incur additional expense associated with operating as a public company, including director and officer liability insurance and legal and compliance costs, although it may fluctuate as a percentage of revenue from period to period depending on the timing of these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Litigation settlement</w:t>
      </w:r>
    </w:p>
    <w:p>
      <w:pPr>
        <w:pStyle w:val="TextBody"/>
        <w:bidi w:val="0"/>
        <w:spacing w:lineRule="auto" w:line="288" w:before="0" w:after="190"/>
        <w:jc w:val="both"/>
        <w:rPr/>
      </w:pPr>
      <w:r>
        <w:rPr>
          <w:rFonts w:ascii="Arial;sans-serif" w:hAnsi="Arial;sans-serif"/>
          <w:b w:val="false"/>
          <w:color w:val="000000"/>
          <w:sz w:val="19"/>
        </w:rPr>
        <w:t xml:space="preserve">In May 2025, Silvaco and two of our principal stockholders and members of our board of directors (the “Co-Defendants”) agreed to a settlement (the “Settlement Agreement”) in connection with litigation brought by the former shareholders of Nangate, Inc. (“Nangate”) and a third cross-complainant (together, the “Nangate Parties”). The $32.5 million settlement (the “Settlement Payment”) consists of an initial $16.0 million paid on June 17, 2025 and four quarterly installment payments of $4.1 million each, payable on August 15, 2025, November 14, 2025, February 13, 2026, and May 15, 2026. Following the Settlement Agreement, Silvaco and the Co-Defendants also executed an apportionment agreement pursuant to which the Co-Defendants agreed to bear 25% of the of the Settlement Payment, with Silvaco bearing the remaining 75%. In June 2025, we made the initial payment of $16.0 million on behalf of Silvaco and the Co-Defendants, which included a $6.0 million reimbursement from the Co-Defendants in accordance with the apportionment agreement. We recorded a charge to litigation settlement and accrued expenses and other current liabilities of $13.1 million for the six months ended June 30, 2025 related to the Settlement Agreement. We did not record a charge during the three months ended June 30, 2025. As of June 30, 2025, our remaining liability under the Settlement Payment was $14.4 million, which is included in accrued expenses and other current liabilities on the condensed consolidated balance sheet. In the event the Co-Defendants do not satisfy their obligation under the Settlement Agreement, we will assume payment of the Co-Defendants litigation settlement obligation of $2.1 million to avoid a default under the Settlement Agreement. In such unlikely circumstance, we expect to seek remedies from the Co-Defendants under the apportionment agreement. See </w:t>
      </w:r>
      <w:hyperlink w:anchor="i996aa8cb66ad41bcb8b74e1704a963fe_49">
        <w:r>
          <w:rPr>
            <w:rStyle w:val="InternetLink"/>
          </w:rPr>
          <w:t>Not</w:t>
        </w:r>
      </w:hyperlink>
      <w:hyperlink w:anchor="i996aa8cb66ad41bcb8b74e1704a963fe_49">
        <w:r>
          <w:rPr>
            <w:rStyle w:val="InternetLink"/>
          </w:rPr>
          <w:t>e 6</w:t>
        </w:r>
      </w:hyperlink>
      <w:r>
        <w:rPr>
          <w:color w:val="000000"/>
        </w:rPr>
        <w:t xml:space="preserve"> </w:t>
      </w:r>
      <w:r>
        <w:rPr>
          <w:rFonts w:ascii="Arial;sans-serif" w:hAnsi="Arial;sans-serif"/>
          <w:b w:val="false"/>
          <w:color w:val="000000"/>
          <w:sz w:val="19"/>
        </w:rPr>
        <w:t xml:space="preserve">and </w:t>
      </w:r>
      <w:hyperlink w:anchor="i996aa8cb66ad41bcb8b74e1704a963fe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80" w:after="40"/>
        <w:jc w:val="left"/>
        <w:rPr>
          <w:rFonts w:ascii="Arial;sans-serif" w:hAnsi="Arial;sans-serif"/>
          <w:b/>
          <w:i/>
          <w:color w:val="000000"/>
          <w:sz w:val="20"/>
          <w:shd w:fill="FFFFFF" w:val="clear"/>
        </w:rPr>
      </w:pPr>
      <w:r>
        <w:rPr>
          <w:rFonts w:ascii="Arial;sans-serif" w:hAnsi="Arial;sans-serif"/>
          <w:b/>
          <w:i/>
          <w:color w:val="000000"/>
          <w:sz w:val="20"/>
          <w:shd w:fill="FFFFFF" w:val="clear"/>
        </w:rPr>
        <w:t>Loss on Debt Extinguishment</w:t>
      </w:r>
    </w:p>
    <w:p>
      <w:pPr>
        <w:pStyle w:val="TextBody"/>
        <w:bidi w:val="0"/>
        <w:spacing w:lineRule="auto" w:line="288" w:before="0" w:after="190"/>
        <w:jc w:val="both"/>
        <w:rPr/>
      </w:pPr>
      <w:r>
        <w:rPr>
          <w:rFonts w:ascii="Arial;sans-serif" w:hAnsi="Arial;sans-serif"/>
          <w:b w:val="false"/>
          <w:color w:val="000000"/>
          <w:sz w:val="19"/>
        </w:rPr>
        <w:t xml:space="preserve">Loss on debt extinguishment includes losses incurred related to the extinguishment of our note purchase agreement with Micron Technology Inc. (the “Micron Note”) and our loan facility with East West Bank (the “East West Bank Loan”). </w:t>
      </w:r>
      <w:r>
        <w:rPr>
          <w:rFonts w:ascii="Arial;sans-serif" w:hAnsi="Arial;sans-serif"/>
          <w:b w:val="false"/>
          <w:color w:val="000000"/>
          <w:sz w:val="19"/>
          <w:shd w:fill="FFFFFF" w:val="clear"/>
        </w:rPr>
        <w:t xml:space="preserve">See </w:t>
      </w:r>
      <w:hyperlink w:anchor="i996aa8cb66ad41bcb8b74e1704a963fe_52">
        <w:r>
          <w:rPr>
            <w:rStyle w:val="InternetLink"/>
            <w:rFonts w:ascii="Arial;sans-serif" w:hAnsi="Arial;sans-serif"/>
            <w:b w:val="false"/>
            <w:color w:val="0000FF"/>
            <w:sz w:val="19"/>
            <w:u w:val="single"/>
            <w:shd w:fill="FFFFFF" w:val="clear"/>
          </w:rPr>
          <w:t>Note 7</w:t>
        </w:r>
      </w:hyperlink>
      <w:r>
        <w:rPr>
          <w:color w:val="000000"/>
          <w:shd w:fill="FFFFFF" w:val="clear"/>
        </w:rPr>
        <w:t xml:space="preserve"> </w:t>
      </w:r>
      <w:r>
        <w:rPr>
          <w:rFonts w:ascii="Arial;sans-serif" w:hAnsi="Arial;sans-serif"/>
          <w:b w:val="false"/>
          <w:color w:val="000000"/>
          <w:sz w:val="19"/>
          <w:shd w:fill="FFFFFF" w:val="clear"/>
        </w:rPr>
        <w:t xml:space="preserve">of our </w:t>
      </w:r>
      <w:r>
        <w:rPr>
          <w:rFonts w:ascii="Arial;sans-serif" w:hAnsi="Arial;sans-serif"/>
          <w:b w:val="false"/>
          <w:color w:val="000000"/>
          <w:sz w:val="19"/>
        </w:rPr>
        <w:t>condensed consolidated financial statements for further discussion.</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Interest income includes interest income earned on our cash and cash equivalents and marketable securities balances and accretion of the purchase discounts on our marketable securities balances.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Interest and Other Expense, Net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Interest and other expense, net includes interest expense associated with cost of borrowings, leases or interest-bearing agreements, foreign exchange gains and losses and changes in the fair value of contingent consideration associated with legacy acquisitions.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Income Tax Provision </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Income tax provision is our estimate of current tax expense incurred from the consolidated results of operations globally.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sets forth our results of operations for the three and six months ended June 30, 2025 and 2024:</w:t>
      </w:r>
    </w:p>
    <w:tbl>
      <w:tblPr>
        <w:tblW w:w="10205" w:type="dxa"/>
        <w:jc w:val="left"/>
        <w:tblInd w:w="0" w:type="dxa"/>
        <w:tblLayout w:type="fixed"/>
        <w:tblCellMar>
          <w:top w:w="28" w:type="dxa"/>
          <w:left w:w="28" w:type="dxa"/>
          <w:bottom w:w="28" w:type="dxa"/>
          <w:right w:w="28" w:type="dxa"/>
        </w:tblCellMar>
      </w:tblPr>
      <w:tblGrid>
        <w:gridCol w:w="973"/>
        <w:gridCol w:w="593"/>
        <w:gridCol w:w="595"/>
        <w:gridCol w:w="211"/>
        <w:gridCol w:w="673"/>
        <w:gridCol w:w="109"/>
        <w:gridCol w:w="109"/>
        <w:gridCol w:w="109"/>
        <w:gridCol w:w="109"/>
        <w:gridCol w:w="211"/>
        <w:gridCol w:w="778"/>
        <w:gridCol w:w="109"/>
        <w:gridCol w:w="109"/>
        <w:gridCol w:w="109"/>
        <w:gridCol w:w="109"/>
        <w:gridCol w:w="253"/>
        <w:gridCol w:w="254"/>
        <w:gridCol w:w="520"/>
        <w:gridCol w:w="109"/>
        <w:gridCol w:w="109"/>
        <w:gridCol w:w="109"/>
        <w:gridCol w:w="211"/>
        <w:gridCol w:w="778"/>
        <w:gridCol w:w="109"/>
        <w:gridCol w:w="109"/>
        <w:gridCol w:w="109"/>
        <w:gridCol w:w="109"/>
        <w:gridCol w:w="211"/>
        <w:gridCol w:w="778"/>
        <w:gridCol w:w="109"/>
        <w:gridCol w:w="109"/>
        <w:gridCol w:w="109"/>
        <w:gridCol w:w="109"/>
        <w:gridCol w:w="253"/>
        <w:gridCol w:w="254"/>
        <w:gridCol w:w="588"/>
      </w:tblGrid>
      <w:tr>
        <w:trPr/>
        <w:tc>
          <w:tcPr>
            <w:tcW w:w="97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license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and service</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settlement</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w:t>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debt extinguishment</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 provision</w:t>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summarizes our results of operations as a percentage of total revenue for the three and six months ended June 30, 2025 and 2024:</w:t>
      </w:r>
    </w:p>
    <w:tbl>
      <w:tblPr>
        <w:tblW w:w="8977" w:type="dxa"/>
        <w:jc w:val="left"/>
        <w:tblInd w:w="0" w:type="dxa"/>
        <w:tblLayout w:type="fixed"/>
        <w:tblCellMar>
          <w:top w:w="28" w:type="dxa"/>
          <w:left w:w="28" w:type="dxa"/>
          <w:bottom w:w="28" w:type="dxa"/>
          <w:right w:w="28" w:type="dxa"/>
        </w:tblCellMar>
      </w:tblPr>
      <w:tblGrid>
        <w:gridCol w:w="1086"/>
        <w:gridCol w:w="956"/>
        <w:gridCol w:w="958"/>
        <w:gridCol w:w="109"/>
        <w:gridCol w:w="109"/>
        <w:gridCol w:w="109"/>
        <w:gridCol w:w="255"/>
        <w:gridCol w:w="226"/>
        <w:gridCol w:w="527"/>
        <w:gridCol w:w="200"/>
        <w:gridCol w:w="200"/>
        <w:gridCol w:w="200"/>
        <w:gridCol w:w="286"/>
        <w:gridCol w:w="254"/>
        <w:gridCol w:w="527"/>
        <w:gridCol w:w="109"/>
        <w:gridCol w:w="109"/>
        <w:gridCol w:w="109"/>
        <w:gridCol w:w="269"/>
        <w:gridCol w:w="271"/>
        <w:gridCol w:w="475"/>
        <w:gridCol w:w="181"/>
        <w:gridCol w:w="181"/>
        <w:gridCol w:w="181"/>
        <w:gridCol w:w="269"/>
        <w:gridCol w:w="271"/>
        <w:gridCol w:w="550"/>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(as a percentage of total revenue)</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license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60 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74 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75 </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and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40 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26 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34 </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25 </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29 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32 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25 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71 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68 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75 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78 </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49 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52 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41 </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37 </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39 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48 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36 </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34 </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67 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122 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62 </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74 </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98 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50 </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48 </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155 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320 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189 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193 </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(84)</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(253)</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(114)</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(115)</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6 </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(82)</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(255)</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(111)</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(117)</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(78)</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(257)</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(110)</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(120)</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0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Comparison of the Three and Six Months Ended June 30, 2025 and 2024</w:t>
      </w:r>
    </w:p>
    <w:p>
      <w:pPr>
        <w:pStyle w:val="TextBody"/>
        <w:bidi w:val="0"/>
        <w:spacing w:lineRule="auto" w:line="288" w:before="60" w:after="190"/>
        <w:jc w:val="left"/>
        <w:rPr>
          <w:rFonts w:ascii="Arial;sans-serif" w:hAnsi="Arial;sans-serif"/>
          <w:b/>
          <w:i/>
          <w:color w:val="000000"/>
          <w:sz w:val="20"/>
        </w:rPr>
      </w:pPr>
      <w:r>
        <w:rPr>
          <w:rFonts w:ascii="Arial;sans-serif" w:hAnsi="Arial;sans-serif"/>
          <w:b/>
          <w:i/>
          <w:color w:val="000000"/>
          <w:sz w:val="20"/>
        </w:rPr>
        <w:t>Revenue</w:t>
      </w:r>
    </w:p>
    <w:tbl>
      <w:tblPr>
        <w:tblW w:w="7838" w:type="dxa"/>
        <w:jc w:val="left"/>
        <w:tblInd w:w="0" w:type="dxa"/>
        <w:tblLayout w:type="fixed"/>
        <w:tblCellMar>
          <w:top w:w="28" w:type="dxa"/>
          <w:left w:w="28" w:type="dxa"/>
          <w:bottom w:w="28" w:type="dxa"/>
          <w:right w:w="28" w:type="dxa"/>
        </w:tblCellMar>
      </w:tblPr>
      <w:tblGrid>
        <w:gridCol w:w="836"/>
        <w:gridCol w:w="736"/>
        <w:gridCol w:w="738"/>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w:t>
            </w:r>
          </w:p>
        </w:tc>
        <w:tc>
          <w:tcPr>
            <w:tcW w:w="5265"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Software license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Maintenance and service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12,048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14,960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26,140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30,849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pPr>
      <w:r>
        <w:rPr>
          <w:rFonts w:ascii="Arial;sans-serif" w:hAnsi="Arial;sans-serif"/>
          <w:b w:val="false"/>
          <w:color w:val="000000"/>
          <w:sz w:val="19"/>
          <w:shd w:fill="FFFFFF" w:val="clear"/>
        </w:rPr>
        <w:t xml:space="preserve">Total revenue decreased by $2.9 million, or 19%, to $12.0 million for the three months ended </w:t>
      </w:r>
      <w:r>
        <w:rPr>
          <w:rFonts w:ascii="Arial;sans-serif" w:hAnsi="Arial;sans-serif"/>
          <w:b w:val="false"/>
          <w:color w:val="000000"/>
          <w:sz w:val="19"/>
        </w:rPr>
        <w:t>June 30, 2025</w:t>
      </w:r>
      <w:r>
        <w:rPr>
          <w:color w:val="000000"/>
          <w:shd w:fill="FFFFFF" w:val="clear"/>
        </w:rPr>
        <w:t xml:space="preserve"> </w:t>
      </w:r>
      <w:r>
        <w:rPr>
          <w:rFonts w:ascii="Arial;sans-serif" w:hAnsi="Arial;sans-serif"/>
          <w:b w:val="false"/>
          <w:color w:val="000000"/>
          <w:sz w:val="19"/>
          <w:shd w:fill="FFFFFF" w:val="clear"/>
        </w:rPr>
        <w:t xml:space="preserve">from $15.0 million for the three months ended </w:t>
      </w:r>
      <w:r>
        <w:rPr>
          <w:rFonts w:ascii="Arial;sans-serif" w:hAnsi="Arial;sans-serif"/>
          <w:b w:val="false"/>
          <w:color w:val="000000"/>
          <w:sz w:val="19"/>
        </w:rPr>
        <w:t>June 30, 2024</w:t>
      </w:r>
      <w:r>
        <w:rPr>
          <w:rFonts w:ascii="Arial;sans-serif" w:hAnsi="Arial;sans-serif"/>
          <w:b w:val="false"/>
          <w:color w:val="000000"/>
          <w:sz w:val="19"/>
          <w:shd w:fill="FFFFFF" w:val="clear"/>
        </w:rPr>
        <w:t xml:space="preserve">. </w:t>
      </w:r>
      <w:r>
        <w:rPr>
          <w:rFonts w:ascii="Arial;sans-serif" w:hAnsi="Arial;sans-serif"/>
          <w:b w:val="false"/>
          <w:color w:val="000000"/>
          <w:sz w:val="19"/>
        </w:rPr>
        <w:t xml:space="preserve">The decrease in total revenue for the </w:t>
      </w:r>
      <w:r>
        <w:rPr>
          <w:rFonts w:ascii="Arial;sans-serif" w:hAnsi="Arial;sans-serif"/>
          <w:b w:val="false"/>
          <w:color w:val="000000"/>
          <w:sz w:val="19"/>
          <w:shd w:fill="FFFFFF" w:val="clear"/>
        </w:rPr>
        <w:t xml:space="preserve">three months ended </w:t>
      </w:r>
      <w:r>
        <w:rPr>
          <w:rFonts w:ascii="Arial;sans-serif" w:hAnsi="Arial;sans-serif"/>
          <w:b w:val="false"/>
          <w:color w:val="000000"/>
          <w:sz w:val="19"/>
        </w:rPr>
        <w:t xml:space="preserve">June 30, 2025 is primarily due softer end market demand. Revenue associated with our TCAD tools decreased by $3.5 million. This decrease was partially offset by revenue derived from our EDA tools and IP sales which increased by $0.5 million and $0.2 million, respectively. </w:t>
      </w:r>
      <w:r>
        <w:rPr>
          <w:rFonts w:ascii="Arial;sans-serif" w:hAnsi="Arial;sans-serif"/>
          <w:b w:val="false"/>
          <w:color w:val="000000"/>
          <w:sz w:val="19"/>
          <w:shd w:fill="FFFFFF" w:val="clear"/>
        </w:rPr>
        <w:t xml:space="preserve">Software license revenue decreased by $3.8 million, or 35%, to $7.2 million for the three months ended </w:t>
      </w:r>
      <w:r>
        <w:rPr>
          <w:rFonts w:ascii="Arial;sans-serif" w:hAnsi="Arial;sans-serif"/>
          <w:b w:val="false"/>
          <w:color w:val="000000"/>
          <w:sz w:val="19"/>
        </w:rPr>
        <w:t>June 30, 2025</w:t>
      </w:r>
      <w:r>
        <w:rPr>
          <w:color w:val="000000"/>
          <w:shd w:fill="FFFFFF" w:val="clear"/>
        </w:rPr>
        <w:t xml:space="preserve"> </w:t>
      </w:r>
      <w:r>
        <w:rPr>
          <w:rFonts w:ascii="Arial;sans-serif" w:hAnsi="Arial;sans-serif"/>
          <w:b w:val="false"/>
          <w:color w:val="000000"/>
          <w:sz w:val="19"/>
          <w:shd w:fill="FFFFFF" w:val="clear"/>
        </w:rPr>
        <w:t xml:space="preserve">from $11.0 million for the three months ended </w:t>
      </w:r>
      <w:r>
        <w:rPr>
          <w:rFonts w:ascii="Arial;sans-serif" w:hAnsi="Arial;sans-serif"/>
          <w:b w:val="false"/>
          <w:color w:val="000000"/>
          <w:sz w:val="19"/>
        </w:rPr>
        <w:t>June 30, 2024</w:t>
      </w:r>
      <w:r>
        <w:rPr>
          <w:rFonts w:ascii="Arial;sans-serif" w:hAnsi="Arial;sans-serif"/>
          <w:b w:val="false"/>
          <w:color w:val="000000"/>
          <w:sz w:val="19"/>
          <w:shd w:fill="FFFFFF" w:val="clear"/>
        </w:rPr>
        <w:t>. Maintenance and service revenue decreased by $0.9 million, or 23%</w:t>
      </w:r>
      <w:r>
        <w:rPr>
          <w:rFonts w:ascii="Arial;sans-serif" w:hAnsi="Arial;sans-serif"/>
          <w:b w:val="false"/>
          <w:color w:val="000000"/>
          <w:sz w:val="19"/>
        </w:rPr>
        <w:t>,</w:t>
      </w:r>
      <w:r>
        <w:rPr>
          <w:color w:val="000000"/>
          <w:shd w:fill="FFFFFF" w:val="clear"/>
        </w:rPr>
        <w:t xml:space="preserve"> </w:t>
      </w:r>
      <w:r>
        <w:rPr>
          <w:rFonts w:ascii="Arial;sans-serif" w:hAnsi="Arial;sans-serif"/>
          <w:b w:val="false"/>
          <w:color w:val="000000"/>
          <w:sz w:val="19"/>
          <w:shd w:fill="FFFFFF" w:val="clear"/>
        </w:rPr>
        <w:t xml:space="preserve">to $4.8 million for the three months ended </w:t>
      </w:r>
      <w:r>
        <w:rPr>
          <w:rFonts w:ascii="Arial;sans-serif" w:hAnsi="Arial;sans-serif"/>
          <w:b w:val="false"/>
          <w:color w:val="000000"/>
          <w:sz w:val="19"/>
        </w:rPr>
        <w:t>June 30, 2025</w:t>
      </w:r>
      <w:r>
        <w:rPr>
          <w:color w:val="000000"/>
          <w:shd w:fill="FFFFFF" w:val="clear"/>
        </w:rPr>
        <w:t xml:space="preserve"> </w:t>
      </w:r>
      <w:r>
        <w:rPr>
          <w:rFonts w:ascii="Arial;sans-serif" w:hAnsi="Arial;sans-serif"/>
          <w:b w:val="false"/>
          <w:color w:val="000000"/>
          <w:sz w:val="19"/>
          <w:shd w:fill="FFFFFF" w:val="clear"/>
        </w:rPr>
        <w:t xml:space="preserve">from $3.9 million for the three months ended </w:t>
      </w:r>
      <w:r>
        <w:rPr>
          <w:rFonts w:ascii="Arial;sans-serif" w:hAnsi="Arial;sans-serif"/>
          <w:b w:val="false"/>
          <w:color w:val="000000"/>
          <w:sz w:val="19"/>
        </w:rPr>
        <w:t>June 30, 2024</w:t>
      </w:r>
      <w:r>
        <w:rPr>
          <w:rFonts w:ascii="Arial;sans-serif" w:hAnsi="Arial;sans-serif"/>
          <w:b w:val="false"/>
          <w:color w:val="000000"/>
          <w:sz w:val="19"/>
          <w:shd w:fill="FFFFFF" w:val="clear"/>
        </w:rPr>
        <w:t>.</w:t>
      </w:r>
    </w:p>
    <w:p>
      <w:pPr>
        <w:pStyle w:val="TextBody"/>
        <w:bidi w:val="0"/>
        <w:spacing w:lineRule="auto" w:line="288" w:before="0" w:after="190"/>
        <w:jc w:val="both"/>
        <w:rPr/>
      </w:pPr>
      <w:r>
        <w:rPr>
          <w:rFonts w:ascii="Arial;sans-serif" w:hAnsi="Arial;sans-serif"/>
          <w:b w:val="false"/>
          <w:color w:val="000000"/>
          <w:sz w:val="19"/>
          <w:shd w:fill="FFFFFF" w:val="clear"/>
        </w:rPr>
        <w:t xml:space="preserve">For the six months ended </w:t>
      </w:r>
      <w:r>
        <w:rPr>
          <w:rFonts w:ascii="Arial;sans-serif" w:hAnsi="Arial;sans-serif"/>
          <w:b w:val="false"/>
          <w:color w:val="000000"/>
          <w:sz w:val="19"/>
        </w:rPr>
        <w:t>June 30, 2025, t</w:t>
      </w:r>
      <w:r>
        <w:rPr>
          <w:rFonts w:ascii="Arial;sans-serif" w:hAnsi="Arial;sans-serif"/>
          <w:b w:val="false"/>
          <w:color w:val="000000"/>
          <w:sz w:val="19"/>
          <w:shd w:fill="FFFFFF" w:val="clear"/>
        </w:rPr>
        <w:t>otal revenue decreased by $4.7 million, or 15%</w:t>
      </w:r>
      <w:r>
        <w:rPr>
          <w:rFonts w:ascii="Arial;sans-serif" w:hAnsi="Arial;sans-serif"/>
          <w:b w:val="false"/>
          <w:color w:val="000000"/>
          <w:sz w:val="19"/>
        </w:rPr>
        <w:t>,</w:t>
      </w:r>
      <w:r>
        <w:rPr>
          <w:color w:val="000000"/>
          <w:shd w:fill="FFFFFF" w:val="clear"/>
        </w:rPr>
        <w:t xml:space="preserve"> </w:t>
      </w:r>
      <w:r>
        <w:rPr>
          <w:rFonts w:ascii="Arial;sans-serif" w:hAnsi="Arial;sans-serif"/>
          <w:b w:val="false"/>
          <w:color w:val="000000"/>
          <w:sz w:val="19"/>
          <w:shd w:fill="FFFFFF" w:val="clear"/>
        </w:rPr>
        <w:t xml:space="preserve">to $26.1 million from $30.8 million for the six months ended </w:t>
      </w:r>
      <w:r>
        <w:rPr>
          <w:rFonts w:ascii="Arial;sans-serif" w:hAnsi="Arial;sans-serif"/>
          <w:b w:val="false"/>
          <w:color w:val="000000"/>
          <w:sz w:val="19"/>
        </w:rPr>
        <w:t>June 30, 2024</w:t>
      </w:r>
      <w:r>
        <w:rPr>
          <w:rFonts w:ascii="Arial;sans-serif" w:hAnsi="Arial;sans-serif"/>
          <w:b w:val="false"/>
          <w:color w:val="000000"/>
          <w:sz w:val="19"/>
          <w:shd w:fill="FFFFFF" w:val="clear"/>
        </w:rPr>
        <w:t xml:space="preserve">. </w:t>
      </w:r>
      <w:r>
        <w:rPr>
          <w:rFonts w:ascii="Arial;sans-serif" w:hAnsi="Arial;sans-serif"/>
          <w:b w:val="false"/>
          <w:color w:val="000000"/>
          <w:sz w:val="19"/>
        </w:rPr>
        <w:t xml:space="preserve">Revenue associated with our TCAD tools decreased by $6.3 million. This decrease was partially offset by revenue derived from our EDA tools and IP sales which increased by $0.9 million and $0.7 million, respectively. </w:t>
      </w:r>
      <w:r>
        <w:rPr>
          <w:rFonts w:ascii="Arial;sans-serif" w:hAnsi="Arial;sans-serif"/>
          <w:b w:val="false"/>
          <w:color w:val="000000"/>
          <w:sz w:val="19"/>
          <w:shd w:fill="FFFFFF" w:val="clear"/>
        </w:rPr>
        <w:t xml:space="preserve">Software license revenue decreased by $6.1 million, or 26%, to $17.2 million for the six months ended </w:t>
      </w:r>
      <w:r>
        <w:rPr>
          <w:rFonts w:ascii="Arial;sans-serif" w:hAnsi="Arial;sans-serif"/>
          <w:b w:val="false"/>
          <w:color w:val="000000"/>
          <w:sz w:val="19"/>
        </w:rPr>
        <w:t>June 30, 2025</w:t>
      </w:r>
      <w:r>
        <w:rPr>
          <w:color w:val="000000"/>
          <w:shd w:fill="FFFFFF" w:val="clear"/>
        </w:rPr>
        <w:t xml:space="preserve"> </w:t>
      </w:r>
      <w:r>
        <w:rPr>
          <w:rFonts w:ascii="Arial;sans-serif" w:hAnsi="Arial;sans-serif"/>
          <w:b w:val="false"/>
          <w:color w:val="000000"/>
          <w:sz w:val="19"/>
          <w:shd w:fill="FFFFFF" w:val="clear"/>
        </w:rPr>
        <w:t xml:space="preserve">from $23.3 million for the six months ended </w:t>
      </w:r>
      <w:r>
        <w:rPr>
          <w:rFonts w:ascii="Arial;sans-serif" w:hAnsi="Arial;sans-serif"/>
          <w:b w:val="false"/>
          <w:color w:val="000000"/>
          <w:sz w:val="19"/>
        </w:rPr>
        <w:t>June 30, 2024</w:t>
      </w:r>
      <w:r>
        <w:rPr>
          <w:rFonts w:ascii="Arial;sans-serif" w:hAnsi="Arial;sans-serif"/>
          <w:b w:val="false"/>
          <w:color w:val="000000"/>
          <w:sz w:val="19"/>
          <w:shd w:fill="FFFFFF" w:val="clear"/>
        </w:rPr>
        <w:t>. Maintenance and service revenue increased by $1.3 million, or 18%</w:t>
      </w:r>
      <w:r>
        <w:rPr>
          <w:rFonts w:ascii="Arial;sans-serif" w:hAnsi="Arial;sans-serif"/>
          <w:b w:val="false"/>
          <w:color w:val="000000"/>
          <w:sz w:val="19"/>
        </w:rPr>
        <w:t>,</w:t>
      </w:r>
      <w:r>
        <w:rPr>
          <w:color w:val="000000"/>
          <w:shd w:fill="FFFFFF" w:val="clear"/>
        </w:rPr>
        <w:t xml:space="preserve"> </w:t>
      </w:r>
      <w:r>
        <w:rPr>
          <w:rFonts w:ascii="Arial;sans-serif" w:hAnsi="Arial;sans-serif"/>
          <w:b w:val="false"/>
          <w:color w:val="000000"/>
          <w:sz w:val="19"/>
          <w:shd w:fill="FFFFFF" w:val="clear"/>
        </w:rPr>
        <w:t xml:space="preserve">to $8.9 million for the six months ended </w:t>
      </w:r>
      <w:r>
        <w:rPr>
          <w:rFonts w:ascii="Arial;sans-serif" w:hAnsi="Arial;sans-serif"/>
          <w:b w:val="false"/>
          <w:color w:val="000000"/>
          <w:sz w:val="19"/>
        </w:rPr>
        <w:t>June 30, 2025</w:t>
      </w:r>
      <w:r>
        <w:rPr>
          <w:color w:val="000000"/>
          <w:shd w:fill="FFFFFF" w:val="clear"/>
        </w:rPr>
        <w:t xml:space="preserve"> </w:t>
      </w:r>
      <w:r>
        <w:rPr>
          <w:rFonts w:ascii="Arial;sans-serif" w:hAnsi="Arial;sans-serif"/>
          <w:b w:val="false"/>
          <w:color w:val="000000"/>
          <w:sz w:val="19"/>
          <w:shd w:fill="FFFFFF" w:val="clear"/>
        </w:rPr>
        <w:t xml:space="preserve">from $7.6 million for the six months ended </w:t>
      </w:r>
      <w:r>
        <w:rPr>
          <w:rFonts w:ascii="Arial;sans-serif" w:hAnsi="Arial;sans-serif"/>
          <w:b w:val="false"/>
          <w:color w:val="000000"/>
          <w:sz w:val="19"/>
        </w:rPr>
        <w:t>June 30, 2024</w:t>
      </w:r>
      <w:r>
        <w:rPr>
          <w:rFonts w:ascii="Arial;sans-serif" w:hAnsi="Arial;sans-serif"/>
          <w:b w:val="false"/>
          <w:color w:val="000000"/>
          <w:sz w:val="19"/>
          <w:shd w:fill="FFFFFF" w:val="clear"/>
        </w:rPr>
        <w:t>.</w:t>
      </w:r>
    </w:p>
    <w:p>
      <w:pPr>
        <w:pStyle w:val="TextBody"/>
        <w:bidi w:val="0"/>
        <w:spacing w:before="0" w:after="1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Gross Profit</w:t>
      </w:r>
    </w:p>
    <w:p>
      <w:pPr>
        <w:pStyle w:val="TextBody"/>
        <w:bidi w:val="0"/>
        <w:spacing w:lineRule="auto" w:line="288" w:before="0" w:after="190"/>
        <w:jc w:val="both"/>
        <w:rPr/>
      </w:pPr>
      <w:r>
        <w:rPr>
          <w:rFonts w:ascii="Arial;sans-serif" w:hAnsi="Arial;sans-serif"/>
          <w:b w:val="false"/>
          <w:color w:val="000000"/>
          <w:sz w:val="19"/>
          <w:shd w:fill="FFFFFF" w:val="clear"/>
        </w:rPr>
        <w:t xml:space="preserve">Gross profit decreased by $1.6 million, or 15%, to $8.5 million for the three months ended </w:t>
      </w:r>
      <w:r>
        <w:rPr>
          <w:rFonts w:ascii="Arial;sans-serif" w:hAnsi="Arial;sans-serif"/>
          <w:b w:val="false"/>
          <w:color w:val="000000"/>
          <w:sz w:val="19"/>
        </w:rPr>
        <w:t>June 30, 2025</w:t>
      </w:r>
      <w:r>
        <w:rPr>
          <w:color w:val="000000"/>
          <w:shd w:fill="FFFFFF" w:val="clear"/>
        </w:rPr>
        <w:t xml:space="preserve"> </w:t>
      </w:r>
      <w:r>
        <w:rPr>
          <w:rFonts w:ascii="Arial;sans-serif" w:hAnsi="Arial;sans-serif"/>
          <w:b w:val="false"/>
          <w:color w:val="000000"/>
          <w:sz w:val="19"/>
          <w:shd w:fill="FFFFFF" w:val="clear"/>
        </w:rPr>
        <w:t xml:space="preserve">from $10.1 million for the three months ended </w:t>
      </w:r>
      <w:r>
        <w:rPr>
          <w:rFonts w:ascii="Arial;sans-serif" w:hAnsi="Arial;sans-serif"/>
          <w:b w:val="false"/>
          <w:color w:val="000000"/>
          <w:sz w:val="19"/>
        </w:rPr>
        <w:t xml:space="preserve">June 30, 2024 primarily due to a </w:t>
      </w:r>
      <w:r>
        <w:rPr>
          <w:rFonts w:ascii="Arial;sans-serif" w:hAnsi="Arial;sans-serif"/>
          <w:b w:val="false"/>
          <w:color w:val="000000"/>
          <w:sz w:val="19"/>
          <w:shd w:fill="FFFFFF" w:val="clear"/>
        </w:rPr>
        <w:t>$2.9 million</w:t>
      </w:r>
      <w:r>
        <w:rPr>
          <w:color w:val="000000"/>
        </w:rPr>
        <w:t xml:space="preserve"> </w:t>
      </w:r>
      <w:r>
        <w:rPr>
          <w:rFonts w:ascii="Arial;sans-serif" w:hAnsi="Arial;sans-serif"/>
          <w:b w:val="false"/>
          <w:color w:val="000000"/>
          <w:sz w:val="19"/>
        </w:rPr>
        <w:t xml:space="preserve">decrease in revenue driven by a decline in orders due to softer end market demand, partially offset by a </w:t>
      </w:r>
      <w:r>
        <w:rPr>
          <w:rFonts w:ascii="Arial;sans-serif" w:hAnsi="Arial;sans-serif"/>
          <w:b w:val="false"/>
          <w:color w:val="000000"/>
          <w:sz w:val="19"/>
          <w:shd w:fill="FFFFFF" w:val="clear"/>
        </w:rPr>
        <w:t xml:space="preserve">$1.4 million decrease in cost of revenue. Cost of revenue during the three months ended </w:t>
      </w:r>
      <w:r>
        <w:rPr>
          <w:rFonts w:ascii="Arial;sans-serif" w:hAnsi="Arial;sans-serif"/>
          <w:b w:val="false"/>
          <w:color w:val="000000"/>
          <w:sz w:val="19"/>
        </w:rPr>
        <w:t>June 30, 2024</w:t>
      </w:r>
      <w:r>
        <w:rPr>
          <w:color w:val="000000"/>
          <w:shd w:fill="FFFFFF" w:val="clear"/>
        </w:rPr>
        <w:t xml:space="preserve"> </w:t>
      </w:r>
      <w:r>
        <w:rPr>
          <w:rFonts w:ascii="Arial;sans-serif" w:hAnsi="Arial;sans-serif"/>
          <w:b w:val="false"/>
          <w:color w:val="000000"/>
          <w:sz w:val="19"/>
          <w:shd w:fill="FFFFFF" w:val="clear"/>
        </w:rPr>
        <w:t>included $2.1 million of additional stock-based compensation expense primarily related to the consummation of our IPO</w:t>
      </w:r>
      <w:r>
        <w:rPr>
          <w:rFonts w:ascii="Arial;sans-serif" w:hAnsi="Arial;sans-serif"/>
          <w:b w:val="false"/>
          <w:color w:val="000000"/>
          <w:sz w:val="19"/>
        </w:rPr>
        <w:t>. This year-over-year decline in</w:t>
      </w:r>
      <w:r>
        <w:rPr>
          <w:color w:val="000000"/>
          <w:shd w:fill="FFFFFF" w:val="clear"/>
        </w:rPr>
        <w:t xml:space="preserve"> </w:t>
      </w:r>
      <w:r>
        <w:rPr>
          <w:rFonts w:ascii="Arial;sans-serif" w:hAnsi="Arial;sans-serif"/>
          <w:b w:val="false"/>
          <w:color w:val="000000"/>
          <w:sz w:val="19"/>
          <w:shd w:fill="FFFFFF" w:val="clear"/>
        </w:rPr>
        <w:t xml:space="preserve">stock-based compensation expense was </w:t>
      </w:r>
      <w:r>
        <w:rPr>
          <w:rFonts w:ascii="Arial;sans-serif" w:hAnsi="Arial;sans-serif"/>
          <w:b w:val="false"/>
          <w:color w:val="000000"/>
          <w:sz w:val="19"/>
        </w:rPr>
        <w:t xml:space="preserve">partially offset by a </w:t>
      </w:r>
      <w:r>
        <w:rPr>
          <w:rFonts w:ascii="Arial;sans-serif" w:hAnsi="Arial;sans-serif"/>
          <w:b w:val="false"/>
          <w:color w:val="000000"/>
          <w:sz w:val="19"/>
          <w:shd w:fill="FFFFFF" w:val="clear"/>
        </w:rPr>
        <w:t>$0.8 million</w:t>
      </w:r>
      <w:r>
        <w:rPr>
          <w:color w:val="000000"/>
        </w:rPr>
        <w:t xml:space="preserve"> </w:t>
      </w:r>
      <w:r>
        <w:rPr>
          <w:rFonts w:ascii="Arial;sans-serif" w:hAnsi="Arial;sans-serif"/>
          <w:b w:val="false"/>
          <w:color w:val="000000"/>
          <w:sz w:val="19"/>
        </w:rPr>
        <w:t xml:space="preserve">increase in personnel and overhead costs dedicated to customer support during the </w:t>
      </w:r>
      <w:r>
        <w:rPr>
          <w:rFonts w:ascii="Arial;sans-serif" w:hAnsi="Arial;sans-serif"/>
          <w:b w:val="false"/>
          <w:color w:val="000000"/>
          <w:sz w:val="19"/>
          <w:shd w:fill="FFFFFF" w:val="clear"/>
        </w:rPr>
        <w:t xml:space="preserve">three months ended </w:t>
      </w:r>
      <w:r>
        <w:rPr>
          <w:rFonts w:ascii="Arial;sans-serif" w:hAnsi="Arial;sans-serif"/>
          <w:b w:val="false"/>
          <w:color w:val="000000"/>
          <w:sz w:val="19"/>
        </w:rPr>
        <w:t>June 30, 2025.</w:t>
      </w:r>
      <w:r>
        <w:rPr>
          <w:color w:val="000000"/>
          <w:shd w:fill="FFFFFF" w:val="clear"/>
        </w:rPr>
        <w:t xml:space="preserve"> </w:t>
      </w:r>
      <w:r>
        <w:rPr>
          <w:rFonts w:ascii="Arial;sans-serif" w:hAnsi="Arial;sans-serif"/>
          <w:b w:val="false"/>
          <w:color w:val="000000"/>
          <w:sz w:val="19"/>
          <w:shd w:fill="FFFFFF" w:val="clear"/>
        </w:rPr>
        <w:t xml:space="preserve">Gross profit margin </w:t>
      </w:r>
      <w:r>
        <w:rPr>
          <w:rFonts w:ascii="Arial;sans-serif" w:hAnsi="Arial;sans-serif"/>
          <w:b w:val="false"/>
          <w:color w:val="000000"/>
          <w:sz w:val="19"/>
        </w:rPr>
        <w:t xml:space="preserve">increased </w:t>
      </w:r>
      <w:r>
        <w:rPr>
          <w:rFonts w:ascii="Arial;sans-serif" w:hAnsi="Arial;sans-serif"/>
          <w:b w:val="false"/>
          <w:color w:val="000000"/>
          <w:sz w:val="19"/>
          <w:shd w:fill="FFFFFF" w:val="clear"/>
        </w:rPr>
        <w:t xml:space="preserve">to 71% for the three months ended </w:t>
      </w:r>
      <w:r>
        <w:rPr>
          <w:rFonts w:ascii="Arial;sans-serif" w:hAnsi="Arial;sans-serif"/>
          <w:b w:val="false"/>
          <w:color w:val="000000"/>
          <w:sz w:val="19"/>
        </w:rPr>
        <w:t>June 30, 2025</w:t>
      </w:r>
      <w:r>
        <w:rPr>
          <w:color w:val="000000"/>
          <w:shd w:fill="FFFFFF" w:val="clear"/>
        </w:rPr>
        <w:t xml:space="preserve"> </w:t>
      </w:r>
      <w:r>
        <w:rPr>
          <w:rFonts w:ascii="Arial;sans-serif" w:hAnsi="Arial;sans-serif"/>
          <w:b w:val="false"/>
          <w:color w:val="000000"/>
          <w:sz w:val="19"/>
          <w:shd w:fill="FFFFFF" w:val="clear"/>
        </w:rPr>
        <w:t xml:space="preserve">from 68% for the three months ended </w:t>
      </w:r>
      <w:r>
        <w:rPr>
          <w:rFonts w:ascii="Arial;sans-serif" w:hAnsi="Arial;sans-serif"/>
          <w:b w:val="false"/>
          <w:color w:val="000000"/>
          <w:sz w:val="19"/>
        </w:rPr>
        <w:t xml:space="preserve">June 30, 2024, primarily due to the reduction in stock-based compensation expense. </w:t>
      </w:r>
    </w:p>
    <w:p>
      <w:pPr>
        <w:pStyle w:val="TextBody"/>
        <w:bidi w:val="0"/>
        <w:spacing w:lineRule="auto" w:line="288" w:before="0" w:after="190"/>
        <w:jc w:val="both"/>
        <w:rPr/>
      </w:pPr>
      <w:r>
        <w:rPr>
          <w:rFonts w:ascii="Arial;sans-serif" w:hAnsi="Arial;sans-serif"/>
          <w:b w:val="false"/>
          <w:color w:val="000000"/>
          <w:sz w:val="19"/>
          <w:shd w:fill="FFFFFF" w:val="clear"/>
        </w:rPr>
        <w:t xml:space="preserve">For the six months ended </w:t>
      </w:r>
      <w:r>
        <w:rPr>
          <w:rFonts w:ascii="Arial;sans-serif" w:hAnsi="Arial;sans-serif"/>
          <w:b w:val="false"/>
          <w:color w:val="000000"/>
          <w:sz w:val="19"/>
        </w:rPr>
        <w:t>June 30, 2025</w:t>
      </w:r>
      <w:r>
        <w:rPr>
          <w:rFonts w:ascii="Arial;sans-serif" w:hAnsi="Arial;sans-serif"/>
          <w:b w:val="false"/>
          <w:color w:val="000000"/>
          <w:sz w:val="19"/>
          <w:shd w:fill="FFFFFF" w:val="clear"/>
        </w:rPr>
        <w:t xml:space="preserve">, gross profit decreased by $4.4 million, or 18%, to $19.6 million from $24.0 million for the six months ended </w:t>
      </w:r>
      <w:r>
        <w:rPr>
          <w:rFonts w:ascii="Arial;sans-serif" w:hAnsi="Arial;sans-serif"/>
          <w:b w:val="false"/>
          <w:color w:val="000000"/>
          <w:sz w:val="19"/>
        </w:rPr>
        <w:t xml:space="preserve">June 30, 2024, primarily due to a </w:t>
      </w:r>
      <w:r>
        <w:rPr>
          <w:rFonts w:ascii="Arial;sans-serif" w:hAnsi="Arial;sans-serif"/>
          <w:b w:val="false"/>
          <w:color w:val="000000"/>
          <w:sz w:val="19"/>
          <w:shd w:fill="FFFFFF" w:val="clear"/>
        </w:rPr>
        <w:t>$4.7 million</w:t>
      </w:r>
      <w:r>
        <w:rPr>
          <w:color w:val="000000"/>
        </w:rPr>
        <w:t xml:space="preserve"> </w:t>
      </w:r>
      <w:r>
        <w:rPr>
          <w:rFonts w:ascii="Arial;sans-serif" w:hAnsi="Arial;sans-serif"/>
          <w:b w:val="false"/>
          <w:color w:val="000000"/>
          <w:sz w:val="19"/>
        </w:rPr>
        <w:t xml:space="preserve">decrease in revenue, partially offset by a </w:t>
      </w:r>
      <w:r>
        <w:rPr>
          <w:rFonts w:ascii="Arial;sans-serif" w:hAnsi="Arial;sans-serif"/>
          <w:b w:val="false"/>
          <w:color w:val="000000"/>
          <w:sz w:val="19"/>
          <w:shd w:fill="FFFFFF" w:val="clear"/>
        </w:rPr>
        <w:t xml:space="preserve">$0.3 million decrease in cost of revenue. Cost of revenue during the six months ended </w:t>
      </w:r>
      <w:r>
        <w:rPr>
          <w:rFonts w:ascii="Arial;sans-serif" w:hAnsi="Arial;sans-serif"/>
          <w:b w:val="false"/>
          <w:color w:val="000000"/>
          <w:sz w:val="19"/>
        </w:rPr>
        <w:t>June 30, 2024</w:t>
      </w:r>
      <w:r>
        <w:rPr>
          <w:color w:val="000000"/>
          <w:shd w:fill="FFFFFF" w:val="clear"/>
        </w:rPr>
        <w:t xml:space="preserve"> </w:t>
      </w:r>
      <w:r>
        <w:rPr>
          <w:rFonts w:ascii="Arial;sans-serif" w:hAnsi="Arial;sans-serif"/>
          <w:b w:val="false"/>
          <w:color w:val="000000"/>
          <w:sz w:val="19"/>
          <w:shd w:fill="FFFFFF" w:val="clear"/>
        </w:rPr>
        <w:t>included $1.9 million of additional stock-based compensation expense primarily related to the consummation of our IPO</w:t>
      </w:r>
      <w:r>
        <w:rPr>
          <w:rFonts w:ascii="Arial;sans-serif" w:hAnsi="Arial;sans-serif"/>
          <w:b w:val="false"/>
          <w:color w:val="000000"/>
          <w:sz w:val="19"/>
        </w:rPr>
        <w:t>. This year-over-year decline in</w:t>
      </w:r>
      <w:r>
        <w:rPr>
          <w:color w:val="000000"/>
          <w:shd w:fill="FFFFFF" w:val="clear"/>
        </w:rPr>
        <w:t xml:space="preserve"> </w:t>
      </w:r>
      <w:r>
        <w:rPr>
          <w:rFonts w:ascii="Arial;sans-serif" w:hAnsi="Arial;sans-serif"/>
          <w:b w:val="false"/>
          <w:color w:val="000000"/>
          <w:sz w:val="19"/>
          <w:shd w:fill="FFFFFF" w:val="clear"/>
        </w:rPr>
        <w:t xml:space="preserve">stock-based compensation expense was </w:t>
      </w:r>
      <w:r>
        <w:rPr>
          <w:rFonts w:ascii="Arial;sans-serif" w:hAnsi="Arial;sans-serif"/>
          <w:b w:val="false"/>
          <w:color w:val="000000"/>
          <w:sz w:val="19"/>
        </w:rPr>
        <w:t xml:space="preserve">partially offset by a </w:t>
      </w:r>
      <w:r>
        <w:rPr>
          <w:rFonts w:ascii="Arial;sans-serif" w:hAnsi="Arial;sans-serif"/>
          <w:b w:val="false"/>
          <w:color w:val="000000"/>
          <w:sz w:val="19"/>
          <w:shd w:fill="FFFFFF" w:val="clear"/>
        </w:rPr>
        <w:t>$1.3 million</w:t>
      </w:r>
      <w:r>
        <w:rPr>
          <w:color w:val="000000"/>
        </w:rPr>
        <w:t xml:space="preserve"> </w:t>
      </w:r>
      <w:r>
        <w:rPr>
          <w:rFonts w:ascii="Arial;sans-serif" w:hAnsi="Arial;sans-serif"/>
          <w:b w:val="false"/>
          <w:color w:val="000000"/>
          <w:sz w:val="19"/>
        </w:rPr>
        <w:t xml:space="preserve">increase in personnel and overhead costs dedicated to customer support and </w:t>
      </w:r>
      <w:r>
        <w:rPr>
          <w:rFonts w:ascii="Arial;sans-serif" w:hAnsi="Arial;sans-serif"/>
          <w:b w:val="false"/>
          <w:color w:val="000000"/>
          <w:sz w:val="19"/>
          <w:shd w:fill="FFFFFF" w:val="clear"/>
        </w:rPr>
        <w:t>$0.2 million of amortization expense associated with acquired intangible assets</w:t>
      </w:r>
      <w:r>
        <w:rPr>
          <w:color w:val="000000"/>
        </w:rPr>
        <w:t xml:space="preserve"> </w:t>
      </w:r>
      <w:r>
        <w:rPr>
          <w:rFonts w:ascii="Arial;sans-serif" w:hAnsi="Arial;sans-serif"/>
          <w:b w:val="false"/>
          <w:color w:val="000000"/>
          <w:sz w:val="19"/>
        </w:rPr>
        <w:t>during the six</w:t>
      </w:r>
      <w:r>
        <w:rPr>
          <w:color w:val="000000"/>
          <w:shd w:fill="FFFFFF" w:val="clear"/>
        </w:rPr>
        <w:t xml:space="preserve"> </w:t>
      </w:r>
      <w:r>
        <w:rPr>
          <w:rFonts w:ascii="Arial;sans-serif" w:hAnsi="Arial;sans-serif"/>
          <w:b w:val="false"/>
          <w:color w:val="000000"/>
          <w:sz w:val="19"/>
          <w:shd w:fill="FFFFFF" w:val="clear"/>
        </w:rPr>
        <w:t xml:space="preserve">months ended </w:t>
      </w:r>
      <w:r>
        <w:rPr>
          <w:rFonts w:ascii="Arial;sans-serif" w:hAnsi="Arial;sans-serif"/>
          <w:b w:val="false"/>
          <w:color w:val="000000"/>
          <w:sz w:val="19"/>
        </w:rPr>
        <w:t xml:space="preserve">June 30, 2025. </w:t>
      </w:r>
      <w:r>
        <w:rPr>
          <w:rFonts w:ascii="Arial;sans-serif" w:hAnsi="Arial;sans-serif"/>
          <w:b w:val="false"/>
          <w:color w:val="000000"/>
          <w:sz w:val="19"/>
          <w:shd w:fill="FFFFFF" w:val="clear"/>
        </w:rPr>
        <w:t xml:space="preserve">Gross profit margin </w:t>
      </w:r>
      <w:r>
        <w:rPr>
          <w:rFonts w:ascii="Arial;sans-serif" w:hAnsi="Arial;sans-serif"/>
          <w:b w:val="false"/>
          <w:color w:val="000000"/>
          <w:sz w:val="19"/>
        </w:rPr>
        <w:t>decreased</w:t>
      </w:r>
      <w:r>
        <w:rPr>
          <w:color w:val="000000"/>
          <w:shd w:fill="FFFFFF" w:val="clear"/>
        </w:rPr>
        <w:t xml:space="preserve"> </w:t>
      </w:r>
      <w:r>
        <w:rPr>
          <w:rFonts w:ascii="Arial;sans-serif" w:hAnsi="Arial;sans-serif"/>
          <w:b w:val="false"/>
          <w:color w:val="000000"/>
          <w:sz w:val="19"/>
          <w:shd w:fill="FFFFFF" w:val="clear"/>
        </w:rPr>
        <w:t xml:space="preserve">to </w:t>
      </w:r>
      <w:r>
        <w:rPr>
          <w:rFonts w:ascii="Arial;sans-serif" w:hAnsi="Arial;sans-serif"/>
          <w:b w:val="false"/>
          <w:color w:val="000000"/>
          <w:sz w:val="19"/>
        </w:rPr>
        <w:t>75%</w:t>
      </w:r>
      <w:r>
        <w:rPr>
          <w:color w:val="000000"/>
          <w:shd w:fill="FFFFFF" w:val="clear"/>
        </w:rPr>
        <w:t xml:space="preserve"> </w:t>
      </w:r>
      <w:r>
        <w:rPr>
          <w:rFonts w:ascii="Arial;sans-serif" w:hAnsi="Arial;sans-serif"/>
          <w:b w:val="false"/>
          <w:color w:val="000000"/>
          <w:sz w:val="19"/>
          <w:shd w:fill="FFFFFF" w:val="clear"/>
        </w:rPr>
        <w:t xml:space="preserve">for the six months ended </w:t>
      </w:r>
      <w:r>
        <w:rPr>
          <w:rFonts w:ascii="Arial;sans-serif" w:hAnsi="Arial;sans-serif"/>
          <w:b w:val="false"/>
          <w:color w:val="000000"/>
          <w:sz w:val="19"/>
        </w:rPr>
        <w:t>June 30, 2025</w:t>
      </w:r>
      <w:r>
        <w:rPr>
          <w:color w:val="000000"/>
          <w:shd w:fill="FFFFFF" w:val="clear"/>
        </w:rPr>
        <w:t xml:space="preserve"> </w:t>
      </w:r>
      <w:r>
        <w:rPr>
          <w:rFonts w:ascii="Arial;sans-serif" w:hAnsi="Arial;sans-serif"/>
          <w:b w:val="false"/>
          <w:color w:val="000000"/>
          <w:sz w:val="19"/>
          <w:shd w:fill="FFFFFF" w:val="clear"/>
        </w:rPr>
        <w:t xml:space="preserve">from </w:t>
      </w:r>
      <w:r>
        <w:rPr>
          <w:rFonts w:ascii="Arial;sans-serif" w:hAnsi="Arial;sans-serif"/>
          <w:b w:val="false"/>
          <w:color w:val="000000"/>
          <w:sz w:val="19"/>
        </w:rPr>
        <w:t>78%</w:t>
      </w:r>
      <w:r>
        <w:rPr>
          <w:color w:val="000000"/>
          <w:shd w:fill="FFFFFF" w:val="clear"/>
        </w:rPr>
        <w:t xml:space="preserve"> </w:t>
      </w:r>
      <w:r>
        <w:rPr>
          <w:rFonts w:ascii="Arial;sans-serif" w:hAnsi="Arial;sans-serif"/>
          <w:b w:val="false"/>
          <w:color w:val="000000"/>
          <w:sz w:val="19"/>
          <w:shd w:fill="FFFFFF" w:val="clear"/>
        </w:rPr>
        <w:t xml:space="preserve">for the six months ended </w:t>
      </w:r>
      <w:r>
        <w:rPr>
          <w:rFonts w:ascii="Arial;sans-serif" w:hAnsi="Arial;sans-serif"/>
          <w:b w:val="false"/>
          <w:color w:val="000000"/>
          <w:sz w:val="19"/>
        </w:rPr>
        <w:t>June 30, 2024, primarily due to a decline in sales order volume due to softer end market conditions, as discussed above.</w:t>
      </w:r>
    </w:p>
    <w:p>
      <w:pPr>
        <w:pStyle w:val="TextBody"/>
        <w:bidi w:val="0"/>
        <w:spacing w:lineRule="auto" w:line="288" w:before="60" w:after="80"/>
        <w:jc w:val="both"/>
        <w:rPr>
          <w:rFonts w:ascii="Arial;sans-serif" w:hAnsi="Arial;sans-serif"/>
          <w:b/>
          <w:i/>
          <w:color w:val="000000"/>
          <w:sz w:val="20"/>
        </w:rPr>
      </w:pPr>
      <w:r>
        <w:rPr>
          <w:rFonts w:ascii="Arial;sans-serif" w:hAnsi="Arial;sans-serif"/>
          <w:b/>
          <w:i/>
          <w:color w:val="000000"/>
          <w:sz w:val="20"/>
        </w:rPr>
        <w:t>Operating Expenses</w:t>
      </w:r>
    </w:p>
    <w:tbl>
      <w:tblPr>
        <w:tblW w:w="7829" w:type="dxa"/>
        <w:jc w:val="left"/>
        <w:tblInd w:w="0" w:type="dxa"/>
        <w:tblLayout w:type="fixed"/>
        <w:tblCellMar>
          <w:top w:w="28" w:type="dxa"/>
          <w:left w:w="28" w:type="dxa"/>
          <w:bottom w:w="28" w:type="dxa"/>
          <w:right w:w="28" w:type="dxa"/>
        </w:tblCellMar>
      </w:tblPr>
      <w:tblGrid>
        <w:gridCol w:w="912"/>
        <w:gridCol w:w="802"/>
        <w:gridCol w:w="805"/>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Operating expenses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Selling and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10,483 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22,914 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Litigation settlement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9"/>
              </w:rPr>
              <w:t>Total operating expenses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18,687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47,888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49,395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59,416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0" w:after="190"/>
        <w:jc w:val="both"/>
        <w:rPr/>
      </w:pPr>
      <w:r>
        <w:rPr>
          <w:rFonts w:ascii="Arial;sans-serif" w:hAnsi="Arial;sans-serif"/>
          <w:b w:val="false"/>
          <w:color w:val="000000"/>
          <w:sz w:val="19"/>
        </w:rPr>
        <w:t>Research and development expenses decreased by $1.8 million, or 23%, to $5.9 million for the three months ended June 30, 2025 from $7.7 million for the three months ended June 30, 2024. This decrease was primarily attributable to</w:t>
      </w:r>
      <w:r>
        <w:rPr>
          <w:color w:val="000000"/>
          <w:shd w:fill="FFFFFF" w:val="clear"/>
        </w:rPr>
        <w:t xml:space="preserve"> </w:t>
      </w:r>
      <w:r>
        <w:rPr>
          <w:rFonts w:ascii="Arial;sans-serif" w:hAnsi="Arial;sans-serif"/>
          <w:b w:val="false"/>
          <w:color w:val="000000"/>
          <w:sz w:val="19"/>
        </w:rPr>
        <w:t xml:space="preserve">$4.1 million </w:t>
      </w:r>
      <w:r>
        <w:rPr>
          <w:rFonts w:ascii="Arial;sans-serif" w:hAnsi="Arial;sans-serif"/>
          <w:b w:val="false"/>
          <w:color w:val="000000"/>
          <w:sz w:val="19"/>
          <w:shd w:fill="FFFFFF" w:val="clear"/>
        </w:rPr>
        <w:t xml:space="preserve">of stock-based compensation expense in the prior period related to the consummation of our IPO, as compared to </w:t>
      </w:r>
      <w:r>
        <w:rPr>
          <w:rFonts w:ascii="Arial;sans-serif" w:hAnsi="Arial;sans-serif"/>
          <w:b w:val="false"/>
          <w:color w:val="000000"/>
          <w:sz w:val="19"/>
        </w:rPr>
        <w:t xml:space="preserve">$0.6 million </w:t>
      </w:r>
      <w:r>
        <w:rPr>
          <w:rFonts w:ascii="Arial;sans-serif" w:hAnsi="Arial;sans-serif"/>
          <w:b w:val="false"/>
          <w:color w:val="000000"/>
          <w:sz w:val="19"/>
          <w:shd w:fill="FFFFFF" w:val="clear"/>
        </w:rPr>
        <w:t>of stock-based compensation expense in the current year period</w:t>
      </w:r>
      <w:r>
        <w:rPr>
          <w:rFonts w:ascii="Arial;sans-serif" w:hAnsi="Arial;sans-serif"/>
          <w:b w:val="false"/>
          <w:color w:val="000000"/>
          <w:sz w:val="19"/>
        </w:rPr>
        <w:t>. This decrease</w:t>
      </w:r>
      <w:r>
        <w:rPr>
          <w:color w:val="000000"/>
          <w:shd w:fill="FFFFFF" w:val="clear"/>
        </w:rPr>
        <w:t xml:space="preserve"> </w:t>
      </w:r>
      <w:r>
        <w:rPr>
          <w:rFonts w:ascii="Arial;sans-serif" w:hAnsi="Arial;sans-serif"/>
          <w:b w:val="false"/>
          <w:color w:val="000000"/>
          <w:sz w:val="19"/>
          <w:shd w:fill="FFFFFF" w:val="clear"/>
        </w:rPr>
        <w:t xml:space="preserve">was </w:t>
      </w:r>
      <w:r>
        <w:rPr>
          <w:rFonts w:ascii="Arial;sans-serif" w:hAnsi="Arial;sans-serif"/>
          <w:b w:val="false"/>
          <w:color w:val="000000"/>
          <w:sz w:val="19"/>
        </w:rPr>
        <w:t>partially offset by a $1.6 million increase in employee compensation and benefits resulting from increased headcount, merit increases, and payroll tax,</w:t>
      </w:r>
      <w:r>
        <w:rPr>
          <w:color w:val="000000"/>
          <w:shd w:fill="FFFFFF" w:val="clear"/>
        </w:rPr>
        <w:t xml:space="preserve"> </w:t>
      </w:r>
      <w:r>
        <w:rPr>
          <w:rFonts w:ascii="Arial;sans-serif" w:hAnsi="Arial;sans-serif"/>
          <w:b w:val="false"/>
          <w:color w:val="000000"/>
          <w:sz w:val="19"/>
          <w:shd w:fill="FFFFFF" w:val="clear"/>
        </w:rPr>
        <w:t>and</w:t>
      </w:r>
      <w:r>
        <w:rPr>
          <w:color w:val="000000"/>
        </w:rPr>
        <w:t xml:space="preserve"> </w:t>
      </w:r>
      <w:r>
        <w:rPr>
          <w:rFonts w:ascii="Arial;sans-serif" w:hAnsi="Arial;sans-serif"/>
          <w:b w:val="false"/>
          <w:color w:val="000000"/>
          <w:sz w:val="19"/>
        </w:rPr>
        <w:t>a $0.1 million increase in software maintenance expense in the current year period.</w:t>
      </w:r>
    </w:p>
    <w:p>
      <w:pPr>
        <w:pStyle w:val="TextBody"/>
        <w:bidi w:val="0"/>
        <w:spacing w:lineRule="auto" w:line="288" w:before="0" w:after="190"/>
        <w:jc w:val="both"/>
        <w:rPr/>
      </w:pPr>
      <w:r>
        <w:rPr>
          <w:rFonts w:ascii="Arial;sans-serif" w:hAnsi="Arial;sans-serif"/>
          <w:b w:val="false"/>
          <w:color w:val="000000"/>
          <w:sz w:val="19"/>
        </w:rPr>
        <w:t>For the six months ended June 30, 2025, research and development expenses decreased by $0.6 million, or 5%, to $10.7 million from $11.3 million for the six months ended June 30, 2024. This decrease was primarily attributable to</w:t>
      </w:r>
      <w:r>
        <w:rPr>
          <w:color w:val="000000"/>
          <w:shd w:fill="FFFFFF" w:val="clear"/>
        </w:rPr>
        <w:t xml:space="preserve"> </w:t>
      </w:r>
      <w:r>
        <w:rPr>
          <w:rFonts w:ascii="Arial;sans-serif" w:hAnsi="Arial;sans-serif"/>
          <w:b w:val="false"/>
          <w:color w:val="000000"/>
          <w:sz w:val="19"/>
        </w:rPr>
        <w:t xml:space="preserve">$4.1 million </w:t>
      </w:r>
      <w:r>
        <w:rPr>
          <w:rFonts w:ascii="Arial;sans-serif" w:hAnsi="Arial;sans-serif"/>
          <w:b w:val="false"/>
          <w:color w:val="000000"/>
          <w:sz w:val="19"/>
          <w:shd w:fill="FFFFFF" w:val="clear"/>
        </w:rPr>
        <w:t xml:space="preserve">of stock-based compensation expense in the prior period related to the consummation of our IPO, as compared to </w:t>
      </w:r>
      <w:r>
        <w:rPr>
          <w:rFonts w:ascii="Arial;sans-serif" w:hAnsi="Arial;sans-serif"/>
          <w:b w:val="false"/>
          <w:color w:val="000000"/>
          <w:sz w:val="19"/>
        </w:rPr>
        <w:t xml:space="preserve">$0.8 million </w:t>
      </w:r>
      <w:r>
        <w:rPr>
          <w:rFonts w:ascii="Arial;sans-serif" w:hAnsi="Arial;sans-serif"/>
          <w:b w:val="false"/>
          <w:color w:val="000000"/>
          <w:sz w:val="19"/>
          <w:shd w:fill="FFFFFF" w:val="clear"/>
        </w:rPr>
        <w:t>of stock-based compensation expense in the current year period</w:t>
      </w:r>
      <w:r>
        <w:rPr>
          <w:rFonts w:ascii="Arial;sans-serif" w:hAnsi="Arial;sans-serif"/>
          <w:b w:val="false"/>
          <w:color w:val="000000"/>
          <w:sz w:val="19"/>
        </w:rPr>
        <w:t>. This decrease</w:t>
      </w:r>
      <w:r>
        <w:rPr>
          <w:color w:val="000000"/>
          <w:shd w:fill="FFFFFF" w:val="clear"/>
        </w:rPr>
        <w:t xml:space="preserve"> </w:t>
      </w:r>
      <w:r>
        <w:rPr>
          <w:rFonts w:ascii="Arial;sans-serif" w:hAnsi="Arial;sans-serif"/>
          <w:b w:val="false"/>
          <w:color w:val="000000"/>
          <w:sz w:val="19"/>
          <w:shd w:fill="FFFFFF" w:val="clear"/>
        </w:rPr>
        <w:t xml:space="preserve">was </w:t>
      </w:r>
      <w:r>
        <w:rPr>
          <w:rFonts w:ascii="Arial;sans-serif" w:hAnsi="Arial;sans-serif"/>
          <w:b w:val="false"/>
          <w:color w:val="000000"/>
          <w:sz w:val="19"/>
        </w:rPr>
        <w:t>partially offset by a $2.1 million increase in employee compensation and benefits resulting from increased headcount, merit increases, and payroll tax,</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a $0.4 million increase in software maintenance expense in the current year period.</w:t>
      </w:r>
    </w:p>
    <w:p>
      <w:pPr>
        <w:pStyle w:val="TextBody"/>
        <w:bidi w:val="0"/>
        <w:spacing w:before="0" w:after="190"/>
        <w:jc w:val="both"/>
        <w:rPr/>
      </w:pPr>
      <w:r>
        <w:rPr/>
      </w:r>
    </w:p>
    <w:p>
      <w:pPr>
        <w:pStyle w:val="TextBody"/>
        <w:bidi w:val="0"/>
        <w:spacing w:before="0" w:after="190"/>
        <w:jc w:val="both"/>
        <w:rPr/>
      </w:pPr>
      <w:r>
        <w:rPr/>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Selling and Marketing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pPr>
      <w:r>
        <w:rPr>
          <w:rFonts w:ascii="Arial;sans-serif" w:hAnsi="Arial;sans-serif"/>
          <w:b w:val="false"/>
          <w:color w:val="000000"/>
          <w:sz w:val="19"/>
        </w:rPr>
        <w:t>Selling and marketing expenses decreased by $2.5 million, or 34%, to $4.7 million for the three months ended June 30, 2025 from $7.2 million for the three months ended June 30, 2024. This decrease was primarily attributable to</w:t>
      </w:r>
      <w:r>
        <w:rPr>
          <w:color w:val="000000"/>
          <w:shd w:fill="FFFFFF" w:val="clear"/>
        </w:rPr>
        <w:t xml:space="preserve"> </w:t>
      </w:r>
      <w:r>
        <w:rPr>
          <w:rFonts w:ascii="Arial;sans-serif" w:hAnsi="Arial;sans-serif"/>
          <w:b w:val="false"/>
          <w:color w:val="000000"/>
          <w:sz w:val="19"/>
        </w:rPr>
        <w:t xml:space="preserve">$3.6 million </w:t>
      </w:r>
      <w:r>
        <w:rPr>
          <w:rFonts w:ascii="Arial;sans-serif" w:hAnsi="Arial;sans-serif"/>
          <w:b w:val="false"/>
          <w:color w:val="000000"/>
          <w:sz w:val="19"/>
          <w:shd w:fill="FFFFFF" w:val="clear"/>
        </w:rPr>
        <w:t xml:space="preserve">of stock-based compensation expense in the prior period related to the consummation of our IPO, as compared to </w:t>
      </w:r>
      <w:r>
        <w:rPr>
          <w:rFonts w:ascii="Arial;sans-serif" w:hAnsi="Arial;sans-serif"/>
          <w:b w:val="false"/>
          <w:color w:val="000000"/>
          <w:sz w:val="19"/>
        </w:rPr>
        <w:t xml:space="preserve">$0.4 million </w:t>
      </w:r>
      <w:r>
        <w:rPr>
          <w:rFonts w:ascii="Arial;sans-serif" w:hAnsi="Arial;sans-serif"/>
          <w:b w:val="false"/>
          <w:color w:val="000000"/>
          <w:sz w:val="19"/>
          <w:shd w:fill="FFFFFF" w:val="clear"/>
        </w:rPr>
        <w:t>of stock-based compensation expense</w:t>
      </w:r>
      <w:r>
        <w:rPr>
          <w:color w:val="000000"/>
        </w:rPr>
        <w:t xml:space="preserve"> </w:t>
      </w:r>
      <w:r>
        <w:rPr>
          <w:rFonts w:ascii="Arial;sans-serif" w:hAnsi="Arial;sans-serif"/>
          <w:b w:val="false"/>
          <w:color w:val="000000"/>
          <w:sz w:val="19"/>
        </w:rPr>
        <w:t>recognized in the current year period. This year over year decrease in</w:t>
      </w:r>
      <w:r>
        <w:rPr>
          <w:color w:val="000000"/>
          <w:shd w:fill="FFFFFF" w:val="clear"/>
        </w:rPr>
        <w:t xml:space="preserve"> </w:t>
      </w:r>
      <w:r>
        <w:rPr>
          <w:rFonts w:ascii="Arial;sans-serif" w:hAnsi="Arial;sans-serif"/>
          <w:b w:val="false"/>
          <w:color w:val="000000"/>
          <w:sz w:val="19"/>
          <w:shd w:fill="FFFFFF" w:val="clear"/>
        </w:rPr>
        <w:t xml:space="preserve">stock-based compensation expense was </w:t>
      </w:r>
      <w:r>
        <w:rPr>
          <w:rFonts w:ascii="Arial;sans-serif" w:hAnsi="Arial;sans-serif"/>
          <w:b w:val="false"/>
          <w:color w:val="000000"/>
          <w:sz w:val="19"/>
        </w:rPr>
        <w:t>partially offset by a $0.7 million increase in employee compensation and benefits resulting from increased headcount, merit increases, and payroll tax in the current year period.</w:t>
      </w:r>
    </w:p>
    <w:p>
      <w:pPr>
        <w:pStyle w:val="TextBody"/>
        <w:bidi w:val="0"/>
        <w:spacing w:lineRule="auto" w:line="288" w:before="0" w:after="190"/>
        <w:jc w:val="both"/>
        <w:rPr/>
      </w:pPr>
      <w:r>
        <w:rPr>
          <w:rFonts w:ascii="Arial;sans-serif" w:hAnsi="Arial;sans-serif"/>
          <w:b w:val="false"/>
          <w:color w:val="000000"/>
          <w:sz w:val="19"/>
        </w:rPr>
        <w:t>For the six months ended June 30, 2025, selling and marketing expenses decreased by $1.1 million, or 10%, to $9.4 million from $10.5 million for the six months ended June 30, 2024. This decrease was primarily attributable to</w:t>
      </w:r>
      <w:r>
        <w:rPr>
          <w:color w:val="000000"/>
          <w:shd w:fill="FFFFFF" w:val="clear"/>
        </w:rPr>
        <w:t xml:space="preserve"> </w:t>
      </w:r>
      <w:r>
        <w:rPr>
          <w:rFonts w:ascii="Arial;sans-serif" w:hAnsi="Arial;sans-serif"/>
          <w:b w:val="false"/>
          <w:color w:val="000000"/>
          <w:sz w:val="19"/>
        </w:rPr>
        <w:t xml:space="preserve">$3.6 million </w:t>
      </w:r>
      <w:r>
        <w:rPr>
          <w:rFonts w:ascii="Arial;sans-serif" w:hAnsi="Arial;sans-serif"/>
          <w:b w:val="false"/>
          <w:color w:val="000000"/>
          <w:sz w:val="19"/>
          <w:shd w:fill="FFFFFF" w:val="clear"/>
        </w:rPr>
        <w:t xml:space="preserve">of stock-based compensation expense in the prior period related to the consummation of our IPO, as compared to </w:t>
      </w:r>
      <w:r>
        <w:rPr>
          <w:rFonts w:ascii="Arial;sans-serif" w:hAnsi="Arial;sans-serif"/>
          <w:b w:val="false"/>
          <w:color w:val="000000"/>
          <w:sz w:val="19"/>
        </w:rPr>
        <w:t xml:space="preserve">$0.7 million </w:t>
      </w:r>
      <w:r>
        <w:rPr>
          <w:rFonts w:ascii="Arial;sans-serif" w:hAnsi="Arial;sans-serif"/>
          <w:b w:val="false"/>
          <w:color w:val="000000"/>
          <w:sz w:val="19"/>
          <w:shd w:fill="FFFFFF" w:val="clear"/>
        </w:rPr>
        <w:t>of stock-based compensation expense</w:t>
      </w:r>
      <w:r>
        <w:rPr>
          <w:color w:val="000000"/>
        </w:rPr>
        <w:t xml:space="preserve"> </w:t>
      </w:r>
      <w:r>
        <w:rPr>
          <w:rFonts w:ascii="Arial;sans-serif" w:hAnsi="Arial;sans-serif"/>
          <w:b w:val="false"/>
          <w:color w:val="000000"/>
          <w:sz w:val="19"/>
        </w:rPr>
        <w:t>recognized i the current year period. This year over year decrease in</w:t>
      </w:r>
      <w:r>
        <w:rPr>
          <w:color w:val="000000"/>
          <w:shd w:fill="FFFFFF" w:val="clear"/>
        </w:rPr>
        <w:t xml:space="preserve"> </w:t>
      </w:r>
      <w:r>
        <w:rPr>
          <w:rFonts w:ascii="Arial;sans-serif" w:hAnsi="Arial;sans-serif"/>
          <w:b w:val="false"/>
          <w:color w:val="000000"/>
          <w:sz w:val="19"/>
          <w:shd w:fill="FFFFFF" w:val="clear"/>
        </w:rPr>
        <w:t xml:space="preserve">stock-based compensation expense was </w:t>
      </w:r>
      <w:r>
        <w:rPr>
          <w:rFonts w:ascii="Arial;sans-serif" w:hAnsi="Arial;sans-serif"/>
          <w:b w:val="false"/>
          <w:color w:val="000000"/>
          <w:sz w:val="19"/>
        </w:rPr>
        <w:t>partially offset by a $1.8 million increase in employee compensation and benefits resulting from increased headcount, merit increases, and payroll tax in the current year period.</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General and Administrative Expenses</w:t>
      </w:r>
    </w:p>
    <w:p>
      <w:pPr>
        <w:pStyle w:val="TextBody"/>
        <w:bidi w:val="0"/>
        <w:spacing w:lineRule="auto" w:line="288" w:before="0" w:after="190"/>
        <w:jc w:val="both"/>
        <w:rPr/>
      </w:pPr>
      <w:r>
        <w:rPr>
          <w:rFonts w:ascii="Arial;sans-serif" w:hAnsi="Arial;sans-serif"/>
          <w:b w:val="false"/>
          <w:color w:val="000000"/>
          <w:sz w:val="19"/>
        </w:rPr>
        <w:t xml:space="preserve">General and administrative expenses decreased by $10.2 million, or 56%, to $8.1 million for the three months ended June 30, 2025 from $18.3 million for the three months ended June 30, 2024. This decrease was primarily attributable to $11.7 million </w:t>
      </w:r>
      <w:r>
        <w:rPr>
          <w:rFonts w:ascii="Arial;sans-serif" w:hAnsi="Arial;sans-serif"/>
          <w:b w:val="false"/>
          <w:color w:val="000000"/>
          <w:sz w:val="19"/>
          <w:shd w:fill="FFFFFF" w:val="clear"/>
        </w:rPr>
        <w:t xml:space="preserve">of stock-based compensation expense and </w:t>
      </w:r>
      <w:r>
        <w:rPr>
          <w:rFonts w:ascii="Arial;sans-serif" w:hAnsi="Arial;sans-serif"/>
          <w:b w:val="false"/>
          <w:color w:val="000000"/>
          <w:sz w:val="19"/>
        </w:rPr>
        <w:t xml:space="preserve">$0.6 million of IPO preparation costs recognized in the prior year in connection with the consummation of our IPO. This decrease was partially offset by a $1.1 million increase in acquisition-related legal and professional fees, $0.8 million </w:t>
      </w:r>
      <w:r>
        <w:rPr>
          <w:rFonts w:ascii="Arial;sans-serif" w:hAnsi="Arial;sans-serif"/>
          <w:b w:val="false"/>
          <w:color w:val="000000"/>
          <w:sz w:val="19"/>
          <w:shd w:fill="FFFFFF" w:val="clear"/>
        </w:rPr>
        <w:t>of stock-based compensation expense,</w:t>
      </w:r>
      <w:r>
        <w:rPr>
          <w:color w:val="000000"/>
        </w:rPr>
        <w:t xml:space="preserve"> </w:t>
      </w:r>
      <w:r>
        <w:rPr>
          <w:rFonts w:ascii="Arial;sans-serif" w:hAnsi="Arial;sans-serif"/>
          <w:b w:val="false"/>
          <w:color w:val="000000"/>
          <w:sz w:val="19"/>
        </w:rPr>
        <w:t xml:space="preserve">and $0.3 million of amortization expense related to acquired intangible assets in the current year period. </w:t>
      </w:r>
    </w:p>
    <w:p>
      <w:pPr>
        <w:pStyle w:val="TextBody"/>
        <w:bidi w:val="0"/>
        <w:spacing w:lineRule="auto" w:line="288" w:before="0" w:after="190"/>
        <w:jc w:val="both"/>
        <w:rPr/>
      </w:pPr>
      <w:r>
        <w:rPr>
          <w:rFonts w:ascii="Arial;sans-serif" w:hAnsi="Arial;sans-serif"/>
          <w:b w:val="false"/>
          <w:color w:val="000000"/>
          <w:sz w:val="19"/>
        </w:rPr>
        <w:t xml:space="preserve">For the six months ended June 30, 2025, general and administrative expenses decreased by $6.7 million, or 29%, to $16.2 million from $22.9 million for the six months ended June 30, 2024. This decrease was primarily attributable to $11.7 million of stock-based compensation expense and $0.7 million of IPO preparation costs recognized in the prior year in connection with the consummation of our IPO. This decrease was partially offset by a $1.9 million increase in acquisition-related legal and professional fees, a $1.0 million increase in employee compensation and benefits reflecting higher headcount, merit-based salary adjustments, and increased payroll taxes, $2.3 million </w:t>
      </w:r>
      <w:r>
        <w:rPr>
          <w:rFonts w:ascii="Arial;sans-serif" w:hAnsi="Arial;sans-serif"/>
          <w:b w:val="false"/>
          <w:color w:val="000000"/>
          <w:sz w:val="19"/>
          <w:shd w:fill="FFFFFF" w:val="clear"/>
        </w:rPr>
        <w:t xml:space="preserve">of stock-based compensation expense, </w:t>
      </w:r>
      <w:r>
        <w:rPr>
          <w:rFonts w:ascii="Arial;sans-serif" w:hAnsi="Arial;sans-serif"/>
          <w:b w:val="false"/>
          <w:color w:val="000000"/>
          <w:sz w:val="19"/>
        </w:rPr>
        <w:t xml:space="preserve">$0.4 million of amortization expense related to acquired intangible assets, and $0.2 million of software license and maintenance fees in the current year period. </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 xml:space="preserve">Litigation Settlement </w:t>
      </w:r>
    </w:p>
    <w:p>
      <w:pPr>
        <w:pStyle w:val="TextBody"/>
        <w:bidi w:val="0"/>
        <w:spacing w:lineRule="auto" w:line="288" w:before="0" w:after="190"/>
        <w:jc w:val="both"/>
        <w:rPr/>
      </w:pPr>
      <w:r>
        <w:rPr>
          <w:rFonts w:ascii="Arial;sans-serif" w:hAnsi="Arial;sans-serif"/>
          <w:b w:val="false"/>
          <w:color w:val="000000"/>
          <w:sz w:val="19"/>
        </w:rPr>
        <w:t xml:space="preserve">Litigation settlement was $0 and $13.1 million for the three and six months ended June 30, 2025, as compared to $14.7 million for the three and six months ended June 30, 2024. See </w:t>
      </w:r>
      <w:hyperlink w:anchor="i996aa8cb66ad41bcb8b74e1704a963fe_49">
        <w:r>
          <w:rPr>
            <w:rStyle w:val="InternetLink"/>
            <w:rFonts w:ascii="Arial;sans-serif" w:hAnsi="Arial;sans-serif"/>
            <w:b w:val="false"/>
            <w:color w:val="0000FF"/>
            <w:sz w:val="19"/>
            <w:u w:val="single"/>
          </w:rPr>
          <w:t>Note 6</w:t>
        </w:r>
      </w:hyperlink>
      <w:r>
        <w:rPr>
          <w:color w:val="000000"/>
        </w:rPr>
        <w:t xml:space="preserve"> </w:t>
      </w:r>
      <w:r>
        <w:rPr>
          <w:rFonts w:ascii="Arial;sans-serif" w:hAnsi="Arial;sans-serif"/>
          <w:b w:val="false"/>
          <w:color w:val="000000"/>
          <w:sz w:val="19"/>
        </w:rPr>
        <w:t xml:space="preserve">and </w:t>
      </w:r>
      <w:hyperlink w:anchor="i996aa8cb66ad41bcb8b74e1704a963fe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60" w:after="80"/>
        <w:jc w:val="both"/>
        <w:rPr>
          <w:rFonts w:ascii="Arial;sans-serif" w:hAnsi="Arial;sans-serif"/>
          <w:b/>
          <w:i/>
          <w:color w:val="000000"/>
          <w:sz w:val="20"/>
        </w:rPr>
      </w:pPr>
      <w:r>
        <w:rPr>
          <w:rFonts w:ascii="Arial;sans-serif" w:hAnsi="Arial;sans-serif"/>
          <w:b/>
          <w:i/>
          <w:color w:val="000000"/>
          <w:sz w:val="20"/>
        </w:rPr>
        <w:t>Loss on debt extinguishment</w:t>
      </w:r>
    </w:p>
    <w:p>
      <w:pPr>
        <w:pStyle w:val="TextBody"/>
        <w:bidi w:val="0"/>
        <w:spacing w:lineRule="auto" w:line="288" w:before="0" w:after="190"/>
        <w:jc w:val="both"/>
        <w:rPr/>
      </w:pPr>
      <w:r>
        <w:rPr>
          <w:rFonts w:ascii="Arial;sans-serif" w:hAnsi="Arial;sans-serif"/>
          <w:b w:val="false"/>
          <w:color w:val="000000"/>
          <w:sz w:val="19"/>
        </w:rPr>
        <w:t xml:space="preserve">On May 13, 2024, the Micron Note was converted into 294,217 shares of our common stock in connection with the consummation of our IPO. As a result, $5.6 million was recognized in additional paid-in capital and we recognized a loss on debt extinguishment of $0.6 million during the three and six months ended June 30, 2024. We also recognized a loss on debt extinguishment of $0.1 million associated with the settlement of the East West Bank Loan. </w:t>
      </w:r>
      <w:r>
        <w:rPr>
          <w:rFonts w:ascii="Arial;sans-serif" w:hAnsi="Arial;sans-serif"/>
          <w:b w:val="false"/>
          <w:color w:val="000000"/>
          <w:sz w:val="19"/>
          <w:shd w:fill="FFFFFF" w:val="clear"/>
        </w:rPr>
        <w:t xml:space="preserve">See </w:t>
      </w:r>
      <w:hyperlink w:anchor="i996aa8cb66ad41bcb8b74e1704a963fe_52">
        <w:r>
          <w:rPr>
            <w:rStyle w:val="InternetLink"/>
            <w:rFonts w:ascii="Arial;sans-serif" w:hAnsi="Arial;sans-serif"/>
            <w:b w:val="false"/>
            <w:color w:val="0000FF"/>
            <w:sz w:val="19"/>
            <w:u w:val="single"/>
            <w:shd w:fill="FFFFFF" w:val="clear"/>
          </w:rPr>
          <w:t>Note 7</w:t>
        </w:r>
      </w:hyperlink>
      <w:r>
        <w:rPr>
          <w:color w:val="000000"/>
          <w:shd w:fill="FFFFFF" w:val="clear"/>
        </w:rPr>
        <w:t xml:space="preserve"> </w:t>
      </w:r>
      <w:r>
        <w:rPr>
          <w:rFonts w:ascii="Arial;sans-serif" w:hAnsi="Arial;sans-serif"/>
          <w:b w:val="false"/>
          <w:color w:val="000000"/>
          <w:sz w:val="19"/>
          <w:shd w:fill="FFFFFF" w:val="clear"/>
        </w:rPr>
        <w:t xml:space="preserve">of our </w:t>
      </w:r>
      <w:r>
        <w:rPr>
          <w:rFonts w:ascii="Arial;sans-serif" w:hAnsi="Arial;sans-serif"/>
          <w:b w:val="false"/>
          <w:color w:val="000000"/>
          <w:sz w:val="19"/>
        </w:rPr>
        <w:t>condensed consolidated financial statements for further discussion.</w:t>
      </w:r>
    </w:p>
    <w:p>
      <w:pPr>
        <w:pStyle w:val="TextBody"/>
        <w:bidi w:val="0"/>
        <w:spacing w:lineRule="auto" w:line="288" w:before="60" w:after="80"/>
        <w:jc w:val="both"/>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Interest income reflects interest earned and accretion on our cash equivalents and marketable securities.</w:t>
      </w:r>
    </w:p>
    <w:p>
      <w:pPr>
        <w:pStyle w:val="TextBody"/>
        <w:bidi w:val="0"/>
        <w:spacing w:lineRule="auto" w:line="288" w:before="60" w:after="80"/>
        <w:jc w:val="both"/>
        <w:rPr>
          <w:rFonts w:ascii="Arial;sans-serif" w:hAnsi="Arial;sans-serif"/>
          <w:b/>
          <w:i/>
          <w:color w:val="000000"/>
          <w:sz w:val="20"/>
        </w:rPr>
      </w:pPr>
      <w:r>
        <w:rPr>
          <w:rFonts w:ascii="Arial;sans-serif" w:hAnsi="Arial;sans-serif"/>
          <w:b/>
          <w:i/>
          <w:color w:val="000000"/>
          <w:sz w:val="20"/>
        </w:rPr>
        <w:t>Interest and Other Expense, Net</w:t>
      </w:r>
    </w:p>
    <w:p>
      <w:pPr>
        <w:pStyle w:val="TextBody"/>
        <w:bidi w:val="0"/>
        <w:spacing w:lineRule="auto" w:line="288" w:before="0" w:after="190"/>
        <w:jc w:val="both"/>
        <w:rPr/>
      </w:pPr>
      <w:r>
        <w:rPr>
          <w:rFonts w:ascii="Arial;sans-serif" w:hAnsi="Arial;sans-serif"/>
          <w:b w:val="false"/>
          <w:color w:val="000000"/>
          <w:sz w:val="19"/>
          <w:shd w:fill="FFFFFF" w:val="clear"/>
        </w:rPr>
        <w:t xml:space="preserve">Interest and other expense, net, was </w:t>
      </w:r>
      <w:r>
        <w:rPr>
          <w:rFonts w:ascii="Arial;sans-serif" w:hAnsi="Arial;sans-serif"/>
          <w:b w:val="false"/>
          <w:color w:val="000000"/>
          <w:sz w:val="19"/>
        </w:rPr>
        <w:t>$0.4 million</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$0.3 million</w:t>
      </w:r>
      <w:r>
        <w:rPr>
          <w:color w:val="000000"/>
          <w:shd w:fill="FFFFFF" w:val="clear"/>
        </w:rPr>
        <w:t xml:space="preserve"> </w:t>
      </w:r>
      <w:r>
        <w:rPr>
          <w:rFonts w:ascii="Arial;sans-serif" w:hAnsi="Arial;sans-serif"/>
          <w:b w:val="false"/>
          <w:color w:val="000000"/>
          <w:sz w:val="19"/>
          <w:shd w:fill="FFFFFF" w:val="clear"/>
        </w:rPr>
        <w:t xml:space="preserve">for the three months ended </w:t>
      </w:r>
      <w:r>
        <w:rPr>
          <w:rFonts w:ascii="Arial;sans-serif" w:hAnsi="Arial;sans-serif"/>
          <w:b w:val="false"/>
          <w:color w:val="000000"/>
          <w:sz w:val="19"/>
        </w:rPr>
        <w:t>June 30, 2025</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2024</w:t>
      </w:r>
      <w:r>
        <w:rPr>
          <w:rFonts w:ascii="Arial;sans-serif" w:hAnsi="Arial;sans-serif"/>
          <w:b w:val="false"/>
          <w:color w:val="000000"/>
          <w:sz w:val="19"/>
          <w:shd w:fill="FFFFFF" w:val="clear"/>
        </w:rPr>
        <w:t xml:space="preserve">, respectively, and </w:t>
      </w:r>
      <w:r>
        <w:rPr>
          <w:rFonts w:ascii="Arial;sans-serif" w:hAnsi="Arial;sans-serif"/>
          <w:b w:val="false"/>
          <w:color w:val="000000"/>
          <w:sz w:val="19"/>
        </w:rPr>
        <w:t>$0.7 million</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$0.6 million</w:t>
      </w:r>
      <w:r>
        <w:rPr>
          <w:color w:val="000000"/>
          <w:shd w:fill="FFFFFF" w:val="clear"/>
        </w:rPr>
        <w:t xml:space="preserve"> </w:t>
      </w:r>
      <w:r>
        <w:rPr>
          <w:rFonts w:ascii="Arial;sans-serif" w:hAnsi="Arial;sans-serif"/>
          <w:b w:val="false"/>
          <w:color w:val="000000"/>
          <w:sz w:val="19"/>
          <w:shd w:fill="FFFFFF" w:val="clear"/>
        </w:rPr>
        <w:t xml:space="preserve">for the six months ended </w:t>
      </w:r>
      <w:r>
        <w:rPr>
          <w:rFonts w:ascii="Arial;sans-serif" w:hAnsi="Arial;sans-serif"/>
          <w:b w:val="false"/>
          <w:color w:val="000000"/>
          <w:sz w:val="19"/>
        </w:rPr>
        <w:t>June 30, 2025</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2024</w:t>
      </w:r>
      <w:r>
        <w:rPr>
          <w:rFonts w:ascii="Arial;sans-serif" w:hAnsi="Arial;sans-serif"/>
          <w:b w:val="false"/>
          <w:color w:val="000000"/>
          <w:sz w:val="19"/>
          <w:shd w:fill="FFFFFF" w:val="clear"/>
        </w:rPr>
        <w:t>, respectively.</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both"/>
        <w:rPr>
          <w:rFonts w:ascii="Arial;sans-serif" w:hAnsi="Arial;sans-serif"/>
          <w:b/>
          <w:i/>
          <w:color w:val="000000"/>
          <w:sz w:val="20"/>
        </w:rPr>
      </w:pPr>
      <w:r>
        <w:rPr>
          <w:rFonts w:ascii="Arial;sans-serif" w:hAnsi="Arial;sans-serif"/>
          <w:b/>
          <w:i/>
          <w:color w:val="000000"/>
          <w:sz w:val="20"/>
        </w:rPr>
        <w:t>Income Tax (Benefit) Provision</w:t>
      </w:r>
    </w:p>
    <w:p>
      <w:pPr>
        <w:pStyle w:val="TextBody"/>
        <w:bidi w:val="0"/>
        <w:spacing w:lineRule="auto" w:line="288" w:before="0" w:after="190"/>
        <w:jc w:val="both"/>
        <w:rPr/>
      </w:pPr>
      <w:r>
        <w:rPr>
          <w:rFonts w:ascii="Arial;sans-serif" w:hAnsi="Arial;sans-serif"/>
          <w:b w:val="false"/>
          <w:color w:val="000000"/>
          <w:sz w:val="19"/>
        </w:rPr>
        <w:t>Income tax (benefit) provision was $(0.5) million and $0.2 million for the three months ended June 30, 2025 and 2024, respectively</w:t>
      </w:r>
      <w:r>
        <w:rPr>
          <w:color w:val="000000"/>
          <w:shd w:fill="FFFFFF" w:val="clear"/>
        </w:rPr>
        <w:t xml:space="preserve"> </w:t>
      </w:r>
      <w:r>
        <w:rPr>
          <w:rFonts w:ascii="Arial;sans-serif" w:hAnsi="Arial;sans-serif"/>
          <w:b w:val="false"/>
          <w:color w:val="000000"/>
          <w:sz w:val="19"/>
          <w:shd w:fill="FFFFFF" w:val="clear"/>
        </w:rPr>
        <w:t xml:space="preserve">and (benefit) provisions of </w:t>
      </w:r>
      <w:r>
        <w:rPr>
          <w:rFonts w:ascii="Arial;sans-serif" w:hAnsi="Arial;sans-serif"/>
          <w:b w:val="false"/>
          <w:color w:val="000000"/>
          <w:sz w:val="19"/>
        </w:rPr>
        <w:t xml:space="preserve">$(0.3) million </w:t>
      </w:r>
      <w:r>
        <w:rPr>
          <w:rFonts w:ascii="Arial;sans-serif" w:hAnsi="Arial;sans-serif"/>
          <w:b w:val="false"/>
          <w:color w:val="000000"/>
          <w:sz w:val="19"/>
          <w:shd w:fill="FFFFFF" w:val="clear"/>
        </w:rPr>
        <w:t xml:space="preserve">and </w:t>
      </w:r>
      <w:r>
        <w:rPr>
          <w:rFonts w:ascii="Arial;sans-serif" w:hAnsi="Arial;sans-serif"/>
          <w:b w:val="false"/>
          <w:color w:val="000000"/>
          <w:sz w:val="19"/>
        </w:rPr>
        <w:t xml:space="preserve">$1.0 million </w:t>
      </w:r>
      <w:r>
        <w:rPr>
          <w:rFonts w:ascii="Arial;sans-serif" w:hAnsi="Arial;sans-serif"/>
          <w:b w:val="false"/>
          <w:color w:val="000000"/>
          <w:sz w:val="19"/>
          <w:shd w:fill="FFFFFF" w:val="clear"/>
        </w:rPr>
        <w:t xml:space="preserve">for the </w:t>
      </w:r>
      <w:r>
        <w:rPr>
          <w:rFonts w:ascii="Arial;sans-serif" w:hAnsi="Arial;sans-serif"/>
          <w:b w:val="false"/>
          <w:color w:val="000000"/>
          <w:sz w:val="19"/>
        </w:rPr>
        <w:t>six</w:t>
      </w:r>
      <w:r>
        <w:rPr>
          <w:color w:val="000000"/>
          <w:shd w:fill="FFFFFF" w:val="clear"/>
        </w:rPr>
        <w:t xml:space="preserve"> </w:t>
      </w:r>
      <w:r>
        <w:rPr>
          <w:rFonts w:ascii="Arial;sans-serif" w:hAnsi="Arial;sans-serif"/>
          <w:b w:val="false"/>
          <w:color w:val="000000"/>
          <w:sz w:val="19"/>
          <w:shd w:fill="FFFFFF" w:val="clear"/>
        </w:rPr>
        <w:t xml:space="preserve">months ended </w:t>
      </w:r>
      <w:r>
        <w:rPr>
          <w:rFonts w:ascii="Arial;sans-serif" w:hAnsi="Arial;sans-serif"/>
          <w:b w:val="false"/>
          <w:color w:val="000000"/>
          <w:sz w:val="19"/>
        </w:rPr>
        <w:t>June 30, 2025 and 2024</w:t>
      </w:r>
      <w:r>
        <w:rPr>
          <w:rFonts w:ascii="Arial;sans-serif" w:hAnsi="Arial;sans-serif"/>
          <w:b w:val="false"/>
          <w:color w:val="000000"/>
          <w:sz w:val="19"/>
          <w:shd w:fill="FFFFFF" w:val="clear"/>
        </w:rPr>
        <w:t>, respectively</w:t>
      </w:r>
      <w:r>
        <w:rPr>
          <w:rFonts w:ascii="Arial;sans-serif" w:hAnsi="Arial;sans-serif"/>
          <w:b w:val="false"/>
          <w:color w:val="000000"/>
          <w:sz w:val="19"/>
        </w:rPr>
        <w:t xml:space="preserve">. See </w:t>
      </w:r>
      <w:hyperlink w:anchor="i996aa8cb66ad41bcb8b74e1704a963fe_58">
        <w:r>
          <w:rPr>
            <w:rStyle w:val="InternetLink"/>
            <w:rFonts w:ascii="Arial;sans-serif" w:hAnsi="Arial;sans-serif"/>
            <w:b w:val="false"/>
            <w:color w:val="0000FF"/>
            <w:sz w:val="19"/>
            <w:u w:val="single"/>
          </w:rPr>
          <w:t>Note 9</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60" w:after="80"/>
        <w:jc w:val="left"/>
        <w:rPr>
          <w:rFonts w:ascii="Arial;sans-serif" w:hAnsi="Arial;sans-serif"/>
          <w:b/>
          <w:color w:val="000000"/>
          <w:sz w:val="20"/>
        </w:rPr>
      </w:pPr>
      <w:bookmarkStart w:id="1" w:name="ie5c6bb8b095847bc80050155a8135e47_46631"/>
      <w:bookmarkEnd w:id="1"/>
      <w:r>
        <w:rPr>
          <w:rFonts w:ascii="Arial;sans-serif" w:hAnsi="Arial;sans-serif"/>
          <w:b/>
          <w:color w:val="000000"/>
          <w:sz w:val="20"/>
        </w:rPr>
        <w:t>Key Operating Indicators and Non-GAAP Financial Measures</w:t>
      </w:r>
    </w:p>
    <w:p>
      <w:pPr>
        <w:pStyle w:val="TextBody"/>
        <w:bidi w:val="0"/>
        <w:spacing w:lineRule="auto" w:line="288" w:before="0" w:after="190"/>
        <w:jc w:val="both"/>
        <w:rPr/>
      </w:pPr>
      <w:r>
        <w:rPr>
          <w:rFonts w:ascii="Arial;sans-serif" w:hAnsi="Arial;sans-serif"/>
          <w:b w:val="false"/>
          <w:color w:val="000000"/>
          <w:sz w:val="19"/>
          <w:shd w:fill="FFFFFF" w:val="clear"/>
        </w:rPr>
        <w:t>We use the following</w:t>
      </w:r>
      <w:r>
        <w:rPr>
          <w:color w:val="000000"/>
        </w:rPr>
        <w:t xml:space="preserve"> </w:t>
      </w:r>
      <w:r>
        <w:rPr>
          <w:rFonts w:ascii="Arial;sans-serif" w:hAnsi="Arial;sans-serif"/>
          <w:b w:val="false"/>
          <w:color w:val="000000"/>
          <w:sz w:val="19"/>
          <w:shd w:fill="FFFFFF" w:val="clear"/>
        </w:rPr>
        <w:t>key performance indicators and non-GAAP financial measures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Bookings</w:t>
      </w:r>
    </w:p>
    <w:p>
      <w:pPr>
        <w:pStyle w:val="TextBody"/>
        <w:bidi w:val="0"/>
        <w:spacing w:lineRule="auto" w:line="288" w:before="0" w:after="190"/>
        <w:jc w:val="both"/>
        <w:rPr/>
      </w:pPr>
      <w:r>
        <w:rPr>
          <w:rFonts w:ascii="Arial;sans-serif" w:hAnsi="Arial;sans-serif"/>
          <w:b w:val="false"/>
          <w:color w:val="000000"/>
          <w:sz w:val="19"/>
        </w:rPr>
        <w:t>We define a booking as a signed contract and related purchase commitment from a customer, based on the value set forth in a purchase order. We believe bookings are a useful metric to measure whether we are successful in our sales efforts with new and existing customers, and provide an indication of trends in our operating results that are not necessarily reflected in our revenue, because our revenue recognition is based on the satisfaction of our customer obligations, and not of the successful execution of a booking at the time of sale. Reported bookings may be subject to adjustments and potential cancellations prior to the satisfaction of our customer obligations. For the three and six</w:t>
      </w:r>
      <w:r>
        <w:rPr>
          <w:color w:val="000000"/>
          <w:shd w:fill="FFFFFF" w:val="clear"/>
        </w:rPr>
        <w:t xml:space="preserve"> </w:t>
      </w:r>
      <w:r>
        <w:rPr>
          <w:rFonts w:ascii="Arial;sans-serif" w:hAnsi="Arial;sans-serif"/>
          <w:b w:val="false"/>
          <w:color w:val="000000"/>
          <w:sz w:val="19"/>
          <w:shd w:fill="FFFFFF" w:val="clear"/>
        </w:rPr>
        <w:t xml:space="preserve">months ended </w:t>
      </w:r>
      <w:r>
        <w:rPr>
          <w:rFonts w:ascii="Arial;sans-serif" w:hAnsi="Arial;sans-serif"/>
          <w:b w:val="false"/>
          <w:color w:val="000000"/>
          <w:sz w:val="19"/>
        </w:rPr>
        <w:t>June 30, 2025, we achieved $12.9 million and $26.6 million in bookings, respectively, as compared to $19.5 million and $35.6 million in bookings for the three and six months ended June 30, 2024, respectively.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sets forth our bookings for each of the three month periods during the trailing five quarters as of June 30, 2025.</w:t>
      </w:r>
    </w:p>
    <w:tbl>
      <w:tblPr>
        <w:tblW w:w="7586"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264"/>
        <w:gridCol w:w="264"/>
        <w:gridCol w:w="268"/>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11"/>
        <w:gridCol w:w="751"/>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5"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 30,</w:t>
              <w:br/>
              <w:t>2024</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Bookings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Non-GAAP Operating (Loss) Income and Non-GAAP Net (Loss) Income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report our financial results in accordance with GAAP. However, our management believes that non-GAAP operating (loss) income and non-GAAP net (loss) income provide investors with additional useful information in evaluating our performance. These financial measures are not required by or presented in accordance with GAAP. We believe, however, that these non-GAAP financial measures, when taken together with our financial results presented in accordance with GAAP, provide meaningful supplemental information regarding our operating performance and facilitate internal comparisons of our historical operating performance on a more consistent basis by excluding certain items that may not be indicative of our business, results of operations or outlook and provide a useful measure for period-to-period comparisons of our business performance.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define non-GAAP operating income as our GAAP operating (loss) income adjusted to exclude certain costs, including IPO preparation costs, acquisition-related litigation settlement and legal costs, acquisition-related professional fees and retention bonus, stock-based compensation expense, and amortization of acquired intangible assets. We define non-GAAP net (loss) income as our GAAP net (loss) income adjusted to exclude certain costs, including IPO preparation costs, acquisition-related litigation settlement and legal costs, acquisition-related professional fees and retention bonus, stock-based compensation expense, amortization of acquired intangible assets, change in fair value of contingent consideration, foreign exchange (gain) loss, loss on debt extinguishment, and the income tax effect on non-GAAP items. We monitor non-GAAP operating (loss) income and non-GAAP net (loss) income as non-GAAP financial measures to supplement the financial information we present in accordance with GAAP to provide investors with additional information regarding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Certain items are excluded from our non-GAAP operating (loss) income and non-GAAP net (loss) income because these items are non-cash in nature or management believes they are not indicative of our core operating performance and render comparisons with prior periods and competitors less meaningful. We adjust GAAP operating (loss) income and net (loss) income for these items to arrive at non-GAAP operating (loss) income and non-GAAP net (loss) income because these amounts can vary substantially from company to company within our industry depending upon accounting methods and book values of assets, capital structure and the method by which the assets were acquired. By excluding items that may not be indicative of our recurring core operating results, we believe that non-GAAP operating (loss) income and non-GAAP net (loss) income provide meaningful supplemental information regarding our performance.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reconciles operating loss to non-GAAP operating (loss) income.</w:t>
      </w:r>
    </w:p>
    <w:tbl>
      <w:tblPr>
        <w:tblW w:w="10205" w:type="dxa"/>
        <w:jc w:val="left"/>
        <w:tblInd w:w="0" w:type="dxa"/>
        <w:tblLayout w:type="fixed"/>
        <w:tblCellMar>
          <w:top w:w="28" w:type="dxa"/>
          <w:left w:w="28" w:type="dxa"/>
          <w:bottom w:w="28" w:type="dxa"/>
          <w:right w:w="28" w:type="dxa"/>
        </w:tblCellMar>
      </w:tblPr>
      <w:tblGrid>
        <w:gridCol w:w="1695"/>
        <w:gridCol w:w="1491"/>
        <w:gridCol w:w="1502"/>
        <w:gridCol w:w="211"/>
        <w:gridCol w:w="802"/>
        <w:gridCol w:w="109"/>
        <w:gridCol w:w="109"/>
        <w:gridCol w:w="109"/>
        <w:gridCol w:w="109"/>
        <w:gridCol w:w="211"/>
        <w:gridCol w:w="802"/>
        <w:gridCol w:w="109"/>
        <w:gridCol w:w="109"/>
        <w:gridCol w:w="109"/>
        <w:gridCol w:w="109"/>
        <w:gridCol w:w="211"/>
        <w:gridCol w:w="802"/>
        <w:gridCol w:w="109"/>
        <w:gridCol w:w="109"/>
        <w:gridCol w:w="109"/>
        <w:gridCol w:w="109"/>
        <w:gridCol w:w="211"/>
        <w:gridCol w:w="802"/>
        <w:gridCol w:w="157"/>
      </w:tblGrid>
      <w:tr>
        <w:trPr/>
        <w:tc>
          <w:tcPr>
            <w:tcW w:w="169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Operating loss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(35,401)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Add:</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litigation settlement and legal costs</w:t>
            </w:r>
            <w:r>
              <w:rPr>
                <w:rFonts w:ascii="Arial;sans-serif" w:hAnsi="Arial;sans-serif"/>
                <w:b w:val="false"/>
                <w:color w:val="000000"/>
                <w:sz w:val="12"/>
              </w:rPr>
              <w:t>(1)</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professional fees and retention bonus</w:t>
            </w:r>
            <w:r>
              <w:rPr>
                <w:rFonts w:ascii="Arial;sans-serif" w:hAnsi="Arial;sans-serif"/>
                <w:b w:val="false"/>
                <w:color w:val="000000"/>
                <w:sz w:val="12"/>
              </w:rPr>
              <w:t>(2)</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Amortization of acquired intangible assets</w:t>
            </w:r>
            <w:r>
              <w:rPr>
                <w:rFonts w:ascii="Arial;sans-serif" w:hAnsi="Arial;sans-serif"/>
                <w:b w:val="false"/>
                <w:color w:val="000000"/>
                <w:sz w:val="12"/>
              </w:rPr>
              <w:t>(3)</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IPO preparation costs</w:t>
            </w:r>
            <w:r>
              <w:rPr>
                <w:rFonts w:ascii="Arial;sans-serif" w:hAnsi="Arial;sans-serif"/>
                <w:b w:val="false"/>
                <w:color w:val="000000"/>
                <w:sz w:val="12"/>
              </w:rPr>
              <w:t>(4)</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21,829 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Non-GAAP operating (loss)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4,978 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reconciles net loss to non-GAAP net (loss) income.</w:t>
      </w:r>
    </w:p>
    <w:tbl>
      <w:tblPr>
        <w:tblW w:w="10205" w:type="dxa"/>
        <w:jc w:val="left"/>
        <w:tblInd w:w="0" w:type="dxa"/>
        <w:tblLayout w:type="fixed"/>
        <w:tblCellMar>
          <w:top w:w="28" w:type="dxa"/>
          <w:left w:w="28" w:type="dxa"/>
          <w:bottom w:w="28" w:type="dxa"/>
          <w:right w:w="28" w:type="dxa"/>
        </w:tblCellMar>
      </w:tblPr>
      <w:tblGrid>
        <w:gridCol w:w="1730"/>
        <w:gridCol w:w="1517"/>
        <w:gridCol w:w="1539"/>
        <w:gridCol w:w="211"/>
        <w:gridCol w:w="699"/>
        <w:gridCol w:w="109"/>
        <w:gridCol w:w="109"/>
        <w:gridCol w:w="109"/>
        <w:gridCol w:w="109"/>
        <w:gridCol w:w="211"/>
        <w:gridCol w:w="804"/>
        <w:gridCol w:w="109"/>
        <w:gridCol w:w="109"/>
        <w:gridCol w:w="109"/>
        <w:gridCol w:w="109"/>
        <w:gridCol w:w="211"/>
        <w:gridCol w:w="804"/>
        <w:gridCol w:w="109"/>
        <w:gridCol w:w="109"/>
        <w:gridCol w:w="109"/>
        <w:gridCol w:w="109"/>
        <w:gridCol w:w="211"/>
        <w:gridCol w:w="804"/>
        <w:gridCol w:w="156"/>
      </w:tblGrid>
      <w:tr>
        <w:trPr/>
        <w:tc>
          <w:tcPr>
            <w:tcW w:w="1730"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Net loss</w:t>
            </w:r>
            <w:r>
              <w:rPr>
                <w:color w:val="000000"/>
              </w:rPr>
              <w:t xml:space="preserv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(37,010)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Add:</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litigation settlement and legal costs</w:t>
            </w:r>
            <w:r>
              <w:rPr>
                <w:rFonts w:ascii="Arial;sans-serif" w:hAnsi="Arial;sans-serif"/>
                <w:b w:val="false"/>
                <w:color w:val="000000"/>
                <w:sz w:val="12"/>
              </w:rPr>
              <w:t>(1)</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professional fees and retention bonus</w:t>
            </w:r>
            <w:r>
              <w:rPr>
                <w:rFonts w:ascii="Arial;sans-serif" w:hAnsi="Arial;sans-serif"/>
                <w:b w:val="false"/>
                <w:color w:val="000000"/>
                <w:sz w:val="12"/>
              </w:rPr>
              <w:t>(2)</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Amortization of acquired intangible assets</w:t>
            </w:r>
            <w:r>
              <w:rPr>
                <w:rFonts w:ascii="Arial;sans-serif" w:hAnsi="Arial;sans-serif"/>
                <w:b w:val="false"/>
                <w:color w:val="000000"/>
                <w:sz w:val="12"/>
              </w:rPr>
              <w:t>(3)</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IPO preparation costs</w:t>
            </w:r>
            <w:r>
              <w:rPr>
                <w:rFonts w:ascii="Arial;sans-serif" w:hAnsi="Arial;sans-serif"/>
                <w:b w:val="false"/>
                <w:color w:val="000000"/>
                <w:sz w:val="12"/>
              </w:rPr>
              <w:t>(4)</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21,829 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Change in fair value of contingent consideration</w:t>
            </w:r>
            <w:r>
              <w:rPr>
                <w:rFonts w:ascii="Arial;sans-serif" w:hAnsi="Arial;sans-serif"/>
                <w:b w:val="false"/>
                <w:color w:val="000000"/>
                <w:sz w:val="12"/>
              </w:rPr>
              <w:t>(5)</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Foreign exchange loss</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Loss on debt extinguishment</w:t>
            </w:r>
            <w:r>
              <w:rPr>
                <w:rFonts w:ascii="Arial;sans-serif" w:hAnsi="Arial;sans-serif"/>
                <w:b w:val="false"/>
                <w:color w:val="000000"/>
                <w:sz w:val="12"/>
              </w:rPr>
              <w:t>(6)</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Income tax effect of non-GAAP adjustments</w:t>
            </w:r>
            <w:r>
              <w:rPr>
                <w:rFonts w:ascii="Arial;sans-serif" w:hAnsi="Arial;sans-serif"/>
                <w:b w:val="false"/>
                <w:color w:val="000000"/>
                <w:sz w:val="12"/>
              </w:rPr>
              <w:t>(7)</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Non-GAAP net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(1)Reflects litigation-related expenses incurred in connection with our acquisitions and the Nangate litigation settlement accrual.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(2)Reflects acquisition-related professional fees and retention bonuses related to acquisitions of the OPC Business and Tech-X and other potential acquisitions.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(3)Reflects the amortization of intangible assets attributable to our acquisitions and the NXP IP.</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(4)Reflects one-time costs including third-party professional services fees and costs incurred in connection with, and in preparation for, the consummation of our IPO. Such costs do not include those costs that were considered direct and incremental to the IPO and therefore capitalized as deferred transaction costs.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(5)Includes the change in fair value of contingent consideration recorded in connection with our acquisitions.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(6)Reflects loss incurred on conversion of the Micron Note to common stock in connection with the consummation of our IPO and the loss incurred on the extinguishment of the East West Bank Loan.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(7)Reflects the increase in income tax expenses due to non-GAAP adjustments.</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Since inception, we have financed operations primarily through proceeds received from payments from our customers, borrowings from Ms. Ngai-Pesic and other lenders, and the net proceeds from the sale of our common stock in the IPO. Our primary sources of liquidity are cash, cash equivalents and marketable securities including cash generated from operations. As of June 30, 2025, we had $29.6 million in cash and cash equivalents and restricted cash, of which $4.1 million was held by our foreign subsidiaries, and $25.9 million in short-term marketable securities.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December 2023, we entered into the East West Bank Loan which provides for borrowings of up to $5.0 million bearing interest at a per annum rate equal to one half of one percent (0.5%) above the greater of (i) the prime rate as reported in The Wall Street Journal or (ii) four and one half percent (4.5%). We drew $4.3 million on the East West Bank Loan during the six months ended June 30, 2024. In May 2024, the East West Bank Loan was repaid in full and terminated.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April 11, 2024, we amended and restated our license agreement with NXP, pursuant to which we recorded an associated vendor financing obligation. The vendor financing obligation was $3.1 million as of June 30, 2025. We determined that the vendor financing obligation had an imputed interest rate of 9%, which is reflective of our borrowing rate with similar terms to that of the license agreement.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April 16, 2024, we entered into a note purchase agreement with Micron Technology, Inc. (“Micron”), a customer of the Company, pursuant to which we issued the Micron Note in the principal amount of $5.0 million. The Micron Note accrued interest at a rate of 8% per annum with principal and interest due upon maturity three years after the date of issuance. On May 13, 2024, the Micron Note was converted into 294,217 shares of our common stock in connection with the consummation of the IPO.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May 13, 2024, we sold 6,000,000 shares of common stock in the IPO at a price to the public of $19.00 per share. The gross proceeds from the consummation of our IPO were $114.0 million, with $106.0 million funded to us after deducting underwriting discounts and commissions of $8.0 million.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believe our cash and cash equivalents and marketable securities balances, which include proceeds received in connection with the IPO and the $5.0 million received in connection with the Micron Note will be sufficient to meet our expected working capital needs, capital expenditures, financial commitments and other liquidity requirements associated with our existing operations for at least the next 12 months. We currently have no committed sources of capital. </w:t>
      </w:r>
    </w:p>
    <w:p>
      <w:pPr>
        <w:pStyle w:val="TextBody"/>
        <w:bidi w:val="0"/>
        <w:spacing w:lineRule="auto" w:line="288" w:before="0" w:after="190"/>
        <w:jc w:val="both"/>
        <w:rPr/>
      </w:pPr>
      <w:r>
        <w:rPr>
          <w:rFonts w:ascii="Arial;sans-serif" w:hAnsi="Arial;sans-serif"/>
          <w:b w:val="false"/>
          <w:color w:val="000000"/>
          <w:sz w:val="19"/>
        </w:rPr>
        <w:t xml:space="preserve">If our cash and cash equivalents and marketable securities including cash generated from operating activities are not sufficient to satisfy our liquidity requirements, we may be required to seek additional financing. If we raise additional funds by issuing equity securities or convertible debt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w:t>
      </w:r>
      <w:hyperlink w:anchor="i88141dd95e60400ca812b16feeabe992_179078">
        <w:r>
          <w:rPr>
            <w:rStyle w:val="InternetLink"/>
            <w:color w:val="0000FF"/>
            <w:u w:val="single"/>
          </w:rPr>
          <w:t>“</w:t>
        </w:r>
      </w:hyperlink>
      <w:hyperlink w:anchor="i88141dd95e60400ca812b16feeabe992_179078">
        <w:r>
          <w:rPr>
            <w:rStyle w:val="InternetLink"/>
            <w:rFonts w:ascii="Arial;sans-serif" w:hAnsi="Arial;sans-serif"/>
            <w:b w:val="false"/>
            <w:color w:val="0000FF"/>
            <w:sz w:val="19"/>
            <w:u w:val="single"/>
          </w:rPr>
          <w:t>Risk Factors—Risks Related to Our Business and Industry—Our ability to raise additional capital in the future may be limited and could prevent us from executing our growth strategy</w:t>
        </w:r>
      </w:hyperlink>
      <w:r>
        <w:rPr>
          <w:color w:val="000000"/>
        </w:rPr>
        <w:t xml:space="preserve">” </w:t>
      </w:r>
      <w:r>
        <w:rPr>
          <w:rFonts w:ascii="Arial;sans-serif" w:hAnsi="Arial;sans-serif"/>
          <w:b w:val="false"/>
          <w:color w:val="000000"/>
          <w:sz w:val="19"/>
        </w:rPr>
        <w:t>in Item 1A in Part II in this Quarterly Report on Form 10-Q for further discussion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of June 30, 2025, $19.3 million, or 65%, of our cash and cash equivalents and restricted cash was maintained with one financial institution, where our current deposits are in excess of federally insured limits. Past macroeconomic conditions have resulted in the actual or perceived financial distress of many financial institutions, including the 2023 failures of Silicon Valley Bank, Signature Bank and First Republic Bank and the UBS takeover of Credit Suisse. If the financial institutions with whom we do business were to become distressed or placed into receivership, we may be unable to access the cash we have on deposit with such institutions. If we are unable to access our cash as needed, our financial position and ability to operate our business could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following table summarizes changes in our cash flows for the periods indicated. </w:t>
      </w:r>
    </w:p>
    <w:tbl>
      <w:tblPr>
        <w:tblW w:w="8003" w:type="dxa"/>
        <w:jc w:val="left"/>
        <w:tblInd w:w="0" w:type="dxa"/>
        <w:tblLayout w:type="fixed"/>
        <w:tblCellMar>
          <w:top w:w="28" w:type="dxa"/>
          <w:left w:w="28" w:type="dxa"/>
          <w:bottom w:w="28" w:type="dxa"/>
          <w:right w:w="28" w:type="dxa"/>
        </w:tblCellMar>
      </w:tblPr>
      <w:tblGrid>
        <w:gridCol w:w="1966"/>
        <w:gridCol w:w="1726"/>
        <w:gridCol w:w="1737"/>
        <w:gridCol w:w="211"/>
        <w:gridCol w:w="811"/>
        <w:gridCol w:w="109"/>
        <w:gridCol w:w="109"/>
        <w:gridCol w:w="109"/>
        <w:gridCol w:w="109"/>
        <w:gridCol w:w="211"/>
        <w:gridCol w:w="751"/>
        <w:gridCol w:w="154"/>
      </w:tblGrid>
      <w:tr>
        <w:trPr/>
        <w:tc>
          <w:tcPr>
            <w:tcW w:w="196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Cash provided by (used in):</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(8,794)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Investing activities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(67,865)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Financing activities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106,424 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Effect of exchange rate fluctuations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Net change in cash and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29,853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Operating Activities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Cash flows from operating activities may vary significantly from period to period depending on a variety of factors including the timing of our collections and payments. Our ongoing cash outflows from operating activities primarily relate to personnel related costs, payments for professional services, office leases and related facilities costs, and software supporting our company infrastructure, among others. Our primary source of cash inflows is collections of our accounts receivable. The timing of invoices to our customers and subsequent collection is based on agreements executed and payment terms that can vary by customer.</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Net cash used in operating activities for the six months ended June 30, 2025 was $16.6 million compared to $8.8 million of net cash used in operating activities for the six months ended June 30, 2024. The $7.8 million decrease in net cash used in operating activities reflects the initial $16.0 million paid for the litigation agreement in June 2025 and an $11.0 million decrease in net income, after excluding the non-cash effects of stock-based compensation expense, provision for credit losses, litigation settlement, change in fair value of contingent consideration, depreciation and amortization, and the accretion of discount on marketable securities. This use of cash was partially offset by $6.0 million of related party funding for the litigation agreement and a $13.2 million decrease in net working capital, primarily due to changes in contract assets and accounts receivable.</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Investing Activities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Net cash provided by investing activities for the six months ended June 30, 2025 was $27.8 million, as compared to $67.9 million used in investing activities for the six months ended June 30, 2024. Cash provided by investing activities during the six months ended June 30, 2025, includes $32.0 million of maturities in marketable securities and $10.3 million in sales of marketable securities, partially offset by cash paid to acquire the OPC Business and Tech-X of $14.3 million and $0.2 million in purchases of property and equipment. During the six months ended June 30, 2024, we used cash of $67.8 million for purchases of marketable securities and $0.1 million on purchases of property and equipment.</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Financing Activities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Net cash used in financing activities for the six months ended June 30, 2025 was $1.6 million, as compared to net cash provided by financing activities of $106.4 million for the six months ended June 30, 2024. Net cash used during the six months ended June 30, 2025 includes payroll taxes related to shares withheld from employees of $0.6 million and payments on our vendor financing obligation of $1.3 million. This use of cash was partially offset by $0.4 million in proceeds from issuance of common stock for share-based awards. During the six months ended June 30, 2024, we received $106.0 million in net proceeds from the consummation of our IPO, $4.9 million in net proceeds from the Micron Note, and $4.3 million from our drawdown on the East West Bank Loan, partially offset by the $4.3 million repayment of the East West Bank Loan, payment of $2.1 million related to deferred transaction costs incurred in connection with the consummation of the IPO, the $2.0 million repayment of the line of credit with Ms. Ngai-Pesic (the “2022 Credit Line”) and $0.3 million of payments for our vendor financing obligation.</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Effects of Exchange Rate Fluctuations on Cash and Cash Equivalents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effects of exchange rate fluctuations on cash and cash equivalents were $0.4 million and $0.1 million for the six months ended June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financial commitments for contractual obligations as of June 30, 2025 include our operating leases, our vendor financing obligation, contingent consideration related to the acquisition of Tech-X, and our obligation for the Settlement Agreement with the Nangate Parties.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June 30, 2025 we had: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Operating lease obligations consisted of a current obligation of $0.9 million and a non-current obligation of $1.3 million.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 vendor financing obligation, which includes a current obligation of $1.1 million and a non-current obligation of $1.9 million.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Contingent consideration related to the acquisition of Tech-X, which consisted of a current obligation of $1.0 million and a non-current obligation of $0.7 million.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An obligation to pay the Settlement Payment of $14.4 million, which is classified as current.</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 contingent settlement payment obligation of up to $2.1 million, which would become payable in the event the Co-Defendants are unable to fulfill their portion of the Settlement Payment. This amount is not considered probable and therefore is not recognized as a liability as of June 30, 2025.</w:t>
      </w:r>
    </w:p>
    <w:p>
      <w:pPr>
        <w:pStyle w:val="TextBody"/>
        <w:bidi w:val="0"/>
        <w:spacing w:before="0" w:after="190"/>
        <w:jc w:val="both"/>
        <w:rPr/>
      </w:pPr>
      <w:r>
        <w:rPr/>
      </w:r>
    </w:p>
    <w:p>
      <w:pPr>
        <w:pStyle w:val="TextBody"/>
        <w:bidi w:val="0"/>
        <w:spacing w:lineRule="auto" w:line="288" w:before="0" w:after="190"/>
        <w:jc w:val="both"/>
        <w:rPr/>
      </w:pPr>
      <w:r>
        <w:rPr>
          <w:rFonts w:ascii="Arial;sans-serif" w:hAnsi="Arial;sans-serif"/>
          <w:b w:val="false"/>
          <w:color w:val="000000"/>
          <w:sz w:val="19"/>
        </w:rPr>
        <w:t xml:space="preserve">For further information, refer to </w:t>
      </w:r>
      <w:hyperlink w:anchor="i996aa8cb66ad41bcb8b74e1704a963fe_49">
        <w:r>
          <w:rPr>
            <w:rStyle w:val="InternetLink"/>
            <w:rFonts w:ascii="Arial;sans-serif" w:hAnsi="Arial;sans-serif"/>
            <w:b w:val="false"/>
            <w:color w:val="0000FF"/>
            <w:sz w:val="19"/>
            <w:u w:val="single"/>
          </w:rPr>
          <w:t>Note 6</w:t>
        </w:r>
      </w:hyperlink>
      <w:r>
        <w:rPr>
          <w:rFonts w:ascii="Arial;sans-serif" w:hAnsi="Arial;sans-serif"/>
          <w:b w:val="false"/>
          <w:color w:val="000000"/>
          <w:sz w:val="19"/>
        </w:rPr>
        <w:t xml:space="preserve">, </w:t>
      </w:r>
      <w:hyperlink w:anchor="i996aa8cb66ad41bcb8b74e1704a963fe_52">
        <w:r>
          <w:rPr>
            <w:rStyle w:val="InternetLink"/>
            <w:rFonts w:ascii="Arial;sans-serif" w:hAnsi="Arial;sans-serif"/>
            <w:b w:val="false"/>
            <w:color w:val="0000FF"/>
            <w:sz w:val="19"/>
            <w:u w:val="single"/>
          </w:rPr>
          <w:t>Note 7</w:t>
        </w:r>
      </w:hyperlink>
      <w:r>
        <w:rPr>
          <w:rFonts w:ascii="Arial;sans-serif" w:hAnsi="Arial;sans-serif"/>
          <w:b w:val="false"/>
          <w:color w:val="000000"/>
          <w:sz w:val="19"/>
        </w:rPr>
        <w:t xml:space="preserve">, </w:t>
      </w:r>
      <w:hyperlink w:anchor="i996aa8cb66ad41bcb8b74e1704a963fe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 xml:space="preserve">and </w:t>
      </w:r>
      <w:hyperlink w:anchor="i996aa8cb66ad41bcb8b74e1704a963fe_67">
        <w:r>
          <w:rPr>
            <w:rStyle w:val="InternetLink"/>
            <w:rFonts w:ascii="Arial;sans-serif" w:hAnsi="Arial;sans-serif"/>
            <w:b w:val="false"/>
            <w:color w:val="0000FF"/>
            <w:sz w:val="19"/>
            <w:u w:val="single"/>
          </w:rPr>
          <w:t>Note 12</w:t>
        </w:r>
      </w:hyperlink>
      <w:r>
        <w:rPr>
          <w:color w:val="000000"/>
        </w:rPr>
        <w:t xml:space="preserve"> </w:t>
      </w:r>
      <w:r>
        <w:rPr>
          <w:rFonts w:ascii="Arial;sans-serif" w:hAnsi="Arial;sans-serif"/>
          <w:b w:val="false"/>
          <w:color w:val="000000"/>
          <w:sz w:val="19"/>
        </w:rPr>
        <w:t>to our condensed consolidated financial statements.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Litigation Settlement</w:t>
      </w:r>
    </w:p>
    <w:p>
      <w:pPr>
        <w:pStyle w:val="TextBody"/>
        <w:bidi w:val="0"/>
        <w:spacing w:lineRule="auto" w:line="288" w:before="0" w:after="190"/>
        <w:jc w:val="both"/>
        <w:rPr/>
      </w:pPr>
      <w:r>
        <w:rPr>
          <w:rFonts w:ascii="Arial;sans-serif" w:hAnsi="Arial;sans-serif"/>
          <w:b w:val="false"/>
          <w:color w:val="000000"/>
          <w:sz w:val="19"/>
        </w:rPr>
        <w:t xml:space="preserve">In May 2025, Silvaco and the Co-Defendants agreed to the Settlement Agreement in connection with litigation brought by the Nangate Parties. The Settlement Payment consists of an initial $16.0 million payment due on June 18, 2025 and four quarterly installment payments of $4.1 million each, payable on August 15, 2025, November 14, 2025, February 13, 2026, and May 15, 2026. Following the Settlement Agreement, Silvaco and the Co-Defendants also executed an apportionment agreement with us under which the Co-Defendants agreed to bear 25% of the of the Settlement Payment, with Silvaco bearing the remaining 75%. In June 2025, we made the initial payment of $16.0 million on behalf of Silvaco and the Co-Defendants, and received a $6.0 million reimbursement from the Co-Defendants in accordance with the apportionment agreement. We recorded a charge to litigation settlement and accrued expenses and other current liabilities of $13.1 million for the six months ended June 30, 2025 related to the Settlement Agreement. We did not record a charge during the three months ended June 30, 2025. As of June 30, 2025, our remaining liability under the Settlement Payment was $14.4 million, which is included in accrued expenses and other current liabilities on the condensed consolidated balance sheet. In the event that the Co-Defendants do not satisfy their obligation under the Settlement Agreement, we will assume payment of the Co-Defendants litigation settlement obligation of $2.1 million to avoid a default under the Settlement Agreement. In such unlikely circumstance, we expect to seek remedies from the Co-Defendants under the apportionment agreement. See </w:t>
      </w:r>
      <w:hyperlink w:anchor="i996aa8cb66ad41bcb8b74e1704a963fe_49">
        <w:r>
          <w:rPr>
            <w:rStyle w:val="InternetLink"/>
            <w:rFonts w:ascii="Arial;sans-serif" w:hAnsi="Arial;sans-serif"/>
            <w:b w:val="false"/>
            <w:color w:val="0000FF"/>
            <w:sz w:val="19"/>
            <w:u w:val="single"/>
          </w:rPr>
          <w:t>Note 6</w:t>
        </w:r>
      </w:hyperlink>
      <w:r>
        <w:rPr>
          <w:color w:val="000000"/>
        </w:rPr>
        <w:t xml:space="preserve"> </w:t>
      </w:r>
      <w:r>
        <w:rPr>
          <w:rFonts w:ascii="Arial;sans-serif" w:hAnsi="Arial;sans-serif"/>
          <w:b w:val="false"/>
          <w:color w:val="000000"/>
          <w:sz w:val="19"/>
        </w:rPr>
        <w:t xml:space="preserve">and </w:t>
      </w:r>
      <w:hyperlink w:anchor="i996aa8cb66ad41bcb8b74e1704a963fe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Off-Balance Sheet Arrangements</w:t>
      </w:r>
    </w:p>
    <w:p>
      <w:pPr>
        <w:pStyle w:val="TextBody"/>
        <w:bidi w:val="0"/>
        <w:spacing w:lineRule="auto" w:line="288" w:before="0" w:after="190"/>
        <w:jc w:val="both"/>
        <w:rPr/>
      </w:pPr>
      <w:r>
        <w:rPr>
          <w:rFonts w:ascii="Arial;sans-serif" w:hAnsi="Arial;sans-serif"/>
          <w:b w:val="false"/>
          <w:color w:val="000000"/>
          <w:sz w:val="19"/>
        </w:rPr>
        <w:t xml:space="preserve">As of June 30, 2025, we maintained restricted cash of $16.5 million, which is held to secure an irrevocable standby letter of credit issued in connection with the Settlement Agreement. Of the $16.5 million remaining due under the Settlement Agreement, the Company is obligated to pay $14.4 million. The letter of credit, secured with East West Bank on May 17, 2025, is scheduled to expire on June 30, 2026, unless drawn upon or renewed. As of June 30, 2025, no amounts had been drawn under the letter of credit. Restricted cash is classified as a current asset on the condensed consolidated balance sheets based on the expected expiration date of the letter of credit. See </w:t>
      </w:r>
      <w:hyperlink w:anchor="i996aa8cb66ad41bcb8b74e1704a963fe_49">
        <w:r>
          <w:rPr>
            <w:rStyle w:val="InternetLink"/>
            <w:rFonts w:ascii="Arial;sans-serif" w:hAnsi="Arial;sans-serif"/>
            <w:b w:val="false"/>
            <w:color w:val="0000FF"/>
            <w:sz w:val="19"/>
            <w:u w:val="single"/>
          </w:rPr>
          <w:t>Note 6</w:t>
        </w:r>
      </w:hyperlink>
      <w:r>
        <w:rPr>
          <w:color w:val="000000"/>
        </w:rPr>
        <w:t xml:space="preserve"> </w:t>
      </w:r>
      <w:r>
        <w:rPr>
          <w:rFonts w:ascii="Arial;sans-serif" w:hAnsi="Arial;sans-serif"/>
          <w:b w:val="false"/>
          <w:color w:val="000000"/>
          <w:sz w:val="19"/>
        </w:rPr>
        <w:t>and</w:t>
      </w:r>
      <w:r>
        <w:rPr>
          <w:color w:val="000000"/>
        </w:rPr>
        <w:t xml:space="preserve"> </w:t>
      </w:r>
      <w:hyperlink w:anchor="i996aa8cb66ad41bcb8b74e1704a963fe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Critical Accounting Policies and Significant Judgments and Estimates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There have not been any material changes during the six months ended June 30, 2025 to the methodology applied by management for critical accounting policies previously disclosed in our audited financial statements set forth in our 2024 Form 10-K. For further discussion of our critical accounting policies and estimates, please refer to “Management’s Discussion and Analysis of Financial Condition and Results of Operations—Critical Accounting Policies and Estimates”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3. QUALITATIVE AND QUANTITATIVE DISCLOSURES ABOUT MARKET RISK</w:t>
      </w:r>
    </w:p>
    <w:p>
      <w:pPr>
        <w:pStyle w:val="TextBody"/>
        <w:bidi w:val="0"/>
        <w:spacing w:lineRule="auto" w:line="288" w:before="80" w:after="40"/>
        <w:jc w:val="left"/>
        <w:rPr>
          <w:rFonts w:ascii="Arial;sans-serif" w:hAnsi="Arial;sans-serif"/>
          <w:b w:val="false"/>
          <w:color w:val="000000"/>
          <w:sz w:val="19"/>
        </w:rPr>
      </w:pPr>
      <w:r>
        <w:rPr>
          <w:rFonts w:ascii="Arial;sans-serif" w:hAnsi="Arial;sans-serif"/>
          <w:b w:val="false"/>
          <w:color w:val="000000"/>
          <w:sz w:val="19"/>
        </w:rPr>
        <w:t>We are a smaller reporting company as defined by Rule 12b-2 of the Securities Exchange Act of 1934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management, with the participation of our Chief Executive Officer in his capacity as both principal executive officer and principal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concluded that, as of such date, our disclosure controls and procedures were effective.</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There were no changes in our ICFR identified in connection with the evaluation required by Rule 13a-15(f)or 15d-15(f) of the Exchange Act during the period covered by this Quarterly Report, that materially affected, or are reasonably likely to materially affect, our internal control over financial reporting.</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Inherent Limitations on Effectiveness of Controls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management, including our Chief Executive Officer in his capacity as both principal executive officer and principal financial officer, does not expect that our disclosure controls and procedures or our internal controls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190"/>
        <w:jc w:val="both"/>
        <w:rPr/>
      </w:pPr>
      <w:r>
        <w:rPr>
          <w:rFonts w:ascii="Arial;sans-serif" w:hAnsi="Arial;sans-serif"/>
          <w:b w:val="false"/>
          <w:color w:val="000000"/>
          <w:sz w:val="19"/>
        </w:rPr>
        <w:t xml:space="preserve">Information regarding our current legal proceedings can be found in </w:t>
      </w:r>
      <w:hyperlink w:anchor="i996aa8cb66ad41bcb8b74e1704a963fe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of our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190"/>
        <w:jc w:val="both"/>
        <w:rPr>
          <w:rFonts w:ascii="Arial;sans-serif" w:hAnsi="Arial;sans-serif"/>
          <w:b w:val="false"/>
          <w:i/>
          <w:color w:val="000000"/>
          <w:sz w:val="19"/>
        </w:rPr>
      </w:pPr>
      <w:r>
        <w:rPr>
          <w:rFonts w:ascii="Arial;sans-serif" w:hAnsi="Arial;sans-serif"/>
          <w:b w:val="false"/>
          <w:i/>
          <w:color w:val="000000"/>
          <w:sz w:val="19"/>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unaudited condensed consolidated financial statements and related notes.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common stock could decline, and you could lose part or all of your investment.</w:t>
      </w:r>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Risk Factor Summary</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We face significant competition from larger companies as well as from third-party providers who may deploy their resources to develop IP solutions internally.</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Our operating results are subject to significant fluctuations and, as a result, period-to-period comparisons of our results of operations are not necessarily meaningful and should not be relied upon as indicators of future performance.</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Our interim results of operations may be difficult to predict as a result of seasonality.</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Substantial, prolonged economic downturns and softening demand in key industrial sectors and in major economic regions in which we operate, including China, have resulted and may continue to result in reduced software solutions sales and lower revenue growth.</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The success of our business depends on sustaining or growing our software license revenue and our maintenance and service revenue and the failure to increase such revenue would lead to a material decline in our results of operations.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We also depend on growth in the semiconductor and photonics industries and in the end markets that use our products. Any slowdown in the growth of these industries and end markets could harm our business.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If we are unable to deliver new and innovative software solutions or software license enhancements ahead of rapid technological changes in the market, our revenues could be materially adversely affected.</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We may have to invest more resources in research and development than anticipated, which could increase our operating expenses and negatively affect our operating results.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Our international sales and operations constitute a substantial portion of our revenue and business operations and could be negatively affected by disruptions in international geographies caused by government actions, trade disputes, direct or indirect acts of war or terrorism, international political or economic instability or other similar events.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A substantial portion of our revenue comes from our international sales channels, and we have significant operations in numerous international geographies. As such, any adverse fluctuations in exchange rates could adversely affect our performance.</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If we are unable to protect our proprietary technology and inventions through patents and other intellectual property rights, our ability to compete successfully and our financial results could be adversely impacted.</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Our success depends on the interoperability of our software solutions with our customers’ intended use cases and with products and services of other companies, including our competitors.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If our information technology systems, or those of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Adverse developments affecting the financial services industry could adversely affect our liquidity, financial condition and results of operations, either directly or through adverse impacts on certain of our vendors and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We may not realize the anticipated benefits of our acquisitions or investments, our business could be disrupted because of acquisitions or investments and, depending on how we finance such acquisitions, we could use significant amounts of cash.</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We may not be able to continue to obtain licenses to third-party software and intellectual property on reasonable terms or at all, which may disrupt our business and harm our financial results.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Any dispute regarding our intellectual property may require us to indemnify customers, the cost of which could harm our business.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As long as we are a controlled company, your ability to influence matters requiring stockholder approval will be limited, and the interests of our controlling shareholder may conflict with or differ from your interests as a stockholder.</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Pending or future investigations or litigation could have a material adverse effect on our results of operations and our stock price.</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We have experienced a material weakness in our internal control over financial reporting in the past. If we experience material weaknesses in the future or otherwise fail to maintain an effective system of internal controls in the future, we may not be able to report our financial condition or results of operations accurately or on a timely basis, prevent fraud or file our periodic reports in a timely manner and may incur additional costs to remediate, all of which may adversely affect investor confidence in us and our reported financial information and, as a result, the value of our common stock.</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Risks Related to Our Business and Industry</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face significant competition from larger companies as well as from third-party providers who may deploy their resources to develop IP solutions internally.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are engaged in a competitive segment of the global semiconductor and photonics industries. Our competitive landscape is characterized by competition from companies that have significantly greater resources than us. A variety of factors could adversely impact our ability to compete, including rapid technological change in our software solution design, customers that make purchase decisions based on a mix of factors of varying importance and continuous declines in average selling prices of our software solutions. We compete principally on the basis of technology, license quality and features, license terms, compatibility, reliability, interoperability among products and price and payment terms.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compete against larger companies including Synopsys, Inc., Ansys, Inc., Coventor, Inc., a Lam Research company, Cadence Design Systems, Inc., Siemens EDA, Arm Limited, and CEVA, Inc. Such companies have greater name recognition than us and possess substantial financial, technical, research and development and engineering resources that can be deployed so they can develop competing TCAD, EDA and SIP solutions. Varying combinations of these resources provide advantages to these competitors that enable them to influence industry trends and the pace at which industries adapt to these trends. A strong competitive response from one or more of our competitors to our marketplace efforts, or a shift in customer preferences to competitors’ products, could result in increased pressure to lower our prices more rapidly than anticipated, increased selling and marketing expense, and/or market share loss. The consolidation of our competitors or collaboration among our competitors to deliver more comprehensive offerings than they could prior to consolidation may also impact our ability to compete effectively. In addition, new market entrants with novel technology could change the competitive landscape, potentially resulting in reduced market share, additional pressure to lower prices, or further increases in selling and marketing expense. To the extent our revenue is negatively impacted by competitive pressures and reduced pricing, our business could be harmed.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addition, our ability to compete in our market is subject to a variety of factors, many of which are beyond our control. In particular, any of the below factors could significantly affect our ability to compete and could harm our business: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Our ability to anticipate and lead critical software solution development cycles and technological shifts as driven by our target markets, to innovate rapidly and efficiently and to improve our existing solutions;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Decisions by semiconductor companies and/or OEMs to develop IP internally, rather than license IP from outside vendors due to strategic changes, enhanced internal capability, budget constraints or excess engineering capacity;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Our ability to maintain and improve upon our current research and development collaboration agreements;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Whether any competitor substantially increases its engineering and marketing resources to compete with our software solutions;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The challenges of developing, or acquiring externally developed, technology solutions that are adequate and competitive in meeting the rapidly evolving requirements of next-generation design challenges;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Our ability to expand into established market segments;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ability to compete on the basis of payment terms;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The potential effects of geopolitical conflicts, such as the ongoing trade disputes between the United States and China and Russia’s invasion of Ukraine, including retaliatory and regulatory actions, on purchasing, development, sales and innovation responses and trends in response to such conflicts.</w:t>
      </w:r>
    </w:p>
    <w:p>
      <w:pPr>
        <w:pStyle w:val="TextBody"/>
        <w:bidi w:val="0"/>
        <w:spacing w:lineRule="auto" w:line="288" w:before="120" w:after="180"/>
        <w:jc w:val="both"/>
        <w:rPr>
          <w:rFonts w:ascii="Arial;sans-serif" w:hAnsi="Arial;sans-serif"/>
          <w:b w:val="false"/>
          <w:color w:val="000000"/>
          <w:sz w:val="19"/>
        </w:rPr>
      </w:pPr>
      <w:r>
        <w:rPr>
          <w:rFonts w:ascii="Arial;sans-serif" w:hAnsi="Arial;sans-serif"/>
          <w:b w:val="false"/>
          <w:color w:val="000000"/>
          <w:sz w:val="19"/>
        </w:rPr>
        <w:t xml:space="preserve">We may also be unable to reduce the cost of our software solutions sufficiently to enable us to compete with our competitors or other third-party providers who may deploy their resources to develop IP solutions internally. Our cost reduction efforts may not allow us to keep pace with competitive pricing pressures and could adversely affect our gross margins. To the extent we are unable to reduce the prices of our software solutions and remain competitive, our revenue will likely decline, resulting in further pressure on our gross margins, which could harm our business.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operating results are subject to significant fluctuations and, as a result, period-to-period comparisons of our results of operations are not necessarily meaningful and should not be relied upon as indicators of future performance.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majority of our software license revenue is treated as point in time revenue at the start of the license period, so past revenue may not be indicative of the amount of revenue in any future period. Significant portions of our anticipated future revenue, therefore, will likely depend upon our success in attracting new customers or continuing or expanding our relationships with existing customers. However, revenue recognized from licensing arrangements can vary significantly from period to period, depending largely on bookings recorded during a quarter as well as the timing of the receipt of purchase orders, and is difficult to predict. Revenue that we anticipate will be recognized in a given quarter may end up being recognized in subsequent quarters as a result of the timing of the booking, the specifics of the licensing arrangements or other factors. For example, in the third quarter of 2024, we expected to receive a significant purchase order of approximately $5.0 million but the purchase order was not received until the first week of the fourth quarter. As a result, we did not recognize any revenues from that purchase order in the third quarter of 2024. In addition, as we expand our business into new markets, our licensing contracts may be smaller in volume but greater in value, which may result in further fluctuations in our software license revenue quarter to quarter. Our ability to succeed in our licensing efforts will depend on a variety of factors, including the market positioning, performance, quality, breadth and depth of our current and future IP and solutions as well as our sales and marketing success. Our failure to obtain future licensing customers would impede our future revenue growth and could materially harm our business.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Additionally, fluctuations may be caused by many other factors, including the timing of new software license releases or enhancements by us or our competitors, the license mix and timing of bookings and TBL renewals, software bugs or defects or other software solution quality problems, competition and pricing changes, customer booking or renewal deferrals in anticipation of new software solutions or enhancements, changes in demand for our software solutions, changes in operating expenses, changes in the mix of software license and maintenance and service revenue, timing of our collection of cash, personnel changes and general economic conditions.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Further, we and our customers are affected by general business and economic conditions in the United States and globally. These conditions include short-term and long-term interest rates, inflation, money supply, political issues, legislative and regulatory changes, including the imposition of new tariffs affecting our or our customers’ products and services, fluctuations in both debt and equity capital markets and broad trends in industry and finance, all of which are beyond our control. There recently have been significant changes to U.S. trade policies, sanctions, legislation, treaties and tariffs, including, but not limited to, trade policies and tariffs affecting products outside of the U.S., and the current presidential administration has announced significant new tariffs on foreign imports into the U.S. The extent and duration of increased tariffs and the resulting impact on general economic conditions and on our business are uncertain and depend on various factors, such as negotiations between the U.S. and affected countries, the responses of other countries or regions, and exemptions or exclusions that may be granted. Adverse changes in general domestic and global economic conditions that may occur in the future, including any recession, economic slowdown or disruption of credit markets, may lead to lower demand for products that incorporate our solutions. Macroeconomic conditions that affect the economy and the economic outlook of the United States and the rest of the world, including inflation and changes in currency valuations, could adversely affect us, our customers and vendors, which could have a material adverse effect on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a result of these and other factors, you should not rely on the results of any prior interim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interim results of operations may be difficult to predict as a result of seasonality.</w:t>
      </w:r>
    </w:p>
    <w:p>
      <w:pPr>
        <w:pStyle w:val="TextBody"/>
        <w:bidi w:val="0"/>
        <w:spacing w:lineRule="auto" w:line="288" w:before="0" w:after="190"/>
        <w:jc w:val="both"/>
        <w:rPr/>
      </w:pPr>
      <w:r>
        <w:rPr>
          <w:rFonts w:ascii="Arial;sans-serif" w:hAnsi="Arial;sans-serif"/>
          <w:b w:val="false"/>
          <w:color w:val="000000"/>
          <w:sz w:val="19"/>
        </w:rPr>
        <w:t xml:space="preserve">Our results of operations have fluctuated significantly as a result of seasonality. </w:t>
      </w:r>
      <w:r>
        <w:rPr>
          <w:rFonts w:ascii="Arial;sans-serif" w:hAnsi="Arial;sans-serif"/>
          <w:b w:val="false"/>
          <w:color w:val="000000"/>
          <w:sz w:val="19"/>
          <w:shd w:fill="FFFFFF" w:val="clear"/>
        </w:rPr>
        <w:t xml:space="preserve">For example, new year celebrations in certain countries in Asia, summer holidays in Europe and the United States, and winter holidays globally have, in the past, resulted in a </w:t>
      </w:r>
      <w:r>
        <w:rPr>
          <w:rFonts w:ascii="Arial;sans-serif" w:hAnsi="Arial;sans-serif"/>
          <w:b w:val="false"/>
          <w:color w:val="000000"/>
          <w:sz w:val="19"/>
        </w:rPr>
        <w:t>slowdown in demand for our software solutions in affected locations</w:t>
      </w:r>
      <w:r>
        <w:rPr>
          <w:rFonts w:ascii="Arial;sans-serif" w:hAnsi="Arial;sans-serif"/>
          <w:b w:val="false"/>
          <w:color w:val="000000"/>
          <w:sz w:val="19"/>
          <w:shd w:fill="FFFFFF" w:val="clear"/>
        </w:rPr>
        <w:t xml:space="preserve">. The impact of this cyclicality on our business is evident in lower bookings, including software license renewals and revenue in the second and third quarters of certain years as compared to first and fourth quarters of that year. </w:t>
      </w:r>
      <w:r>
        <w:rPr>
          <w:rFonts w:ascii="Arial;sans-serif" w:hAnsi="Arial;sans-serif"/>
          <w:b w:val="false"/>
          <w:color w:val="000000"/>
          <w:sz w:val="19"/>
        </w:rPr>
        <w:t xml:space="preserve">The seasonality of our business is also affected by our customers’ </w:t>
      </w:r>
      <w:r>
        <w:rPr>
          <w:rFonts w:ascii="Arial;sans-serif" w:hAnsi="Arial;sans-serif"/>
          <w:b w:val="false"/>
          <w:color w:val="000000"/>
          <w:sz w:val="19"/>
          <w:shd w:fill="FFFFFF" w:val="clear"/>
        </w:rPr>
        <w:t xml:space="preserve">research and development cycles. For example, our bookings generally increase when our customers’ increase their research and development spend on their next generation products, which we traditionally see occur in the first quarter and last quarter of each year in part due to our customers’ budgetary cycles. </w:t>
      </w:r>
      <w:r>
        <w:rPr>
          <w:rFonts w:ascii="Arial;sans-serif" w:hAnsi="Arial;sans-serif"/>
          <w:b w:val="false"/>
          <w:color w:val="000000"/>
          <w:sz w:val="19"/>
        </w:rPr>
        <w:t>We may also be affected by additional seasonal trends in the future, particularly as our business continues to mature. Such seasonality may result from a number of factors, including a slowdown in our customers’ procurement process during certain times of the year, both domestically and internationally, and customers choosing to spend remaining budgets shortly before the end of their fiscal years. Seasonality has in the past caused, and may cause in the future, fluctuations in our results of operations and financial metrics, and make forecasting our future results of operations and financial metrics more difficult.</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Substantial, prolonged economic downturns in key industrial sectors and in major economic regions in which we operate, including China, may result in reduced software solution sales and lower revenue growth.</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sales are based significantly on end user demand for our software solutions in the display, power devices, automotive, memory, HPC, IoT, and 5G/6G mobile markets. Many of these markets periodically experience economic declines. These economic declines may be exacerbated by other economic factors, such as the recent increase in global energy prices, and more recently by economic uncertainties as a result of changes in trade policies and the imposition of new tariffs. These economic factors may adversely affect our business by extending sales cycles and reducing revenue.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customers supply semiconductor solutions to a wide spectrum of goods and services providers in all major economic regions. Our performance is materially impacted by general economic conditions and the performance of our customers. Our management team forecasts macroeconomic trends and developments and integrates them through long-range planning into budgets, research and development strategies and a wide variety of general management duties. To the extent that our forecasts are overly optimistic or overly pessimistic about the performance of an economy or sector, our performance may be hindered because of a failure to properly match corporate strategy with economic conditions.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Terrorist attacks, war and other increased global hostilities, including the ongoing conflicts between Russia and Ukraine and Israel and its adversaries, Hamas, Hezbollah and Iran, pandemics, including the COVID-19 pandemic, and natural disasters have, at times, contributed to widespread uncertainty and speculation in the semiconductor markets.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During the three and six months ended June 30, 2025, 28% and 21% of our revenue was derived from customers in China, respectively. For the comparable periods in 2024, customers in China accounted for 17% and 14% of our revenue, respectively. China has experienced an economic slowdown, which, has adversely impacted our revenue derived from China-based operations and, if continued, could continue to have an adverse impact on our revenue derived from China-based operations in future periods. Further, geopolitical disruptions among the United States and China could result in the suspension or delay of purchases of our software solutions by our customers in China, which could inhibit our ability to secure similar levels of revenue in the future from such customers or otherwise. See “—We face risks associated with doing business in China.” Similar uncertainties and speculation may result in further economic contraction, resulting in the suspension or delay of purchases of our software solutions by our customers, which could harm our business, financial condition and results of operations.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The success of our business depends on sustaining or growing our software license revenue and our maintenance and service revenue and the failure to increase such revenue would lead to a material decline in our results of operations.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revenue consists of software license fees and other fees and royalties paid for access to our technologies and other maintenance and services we provide to our customers. Our success at continuing to derive revenue from existing customers requires that we continue to service their needs adequately and provide them with solutions that drive value for them. Our ability to secure and renew the software licenses from which our revenue is derived depends on our customers adopting our solutions and may require us to incur significant expenditures and dedicate engineering resources to the development or enhancement of our software licenses without assurance that our solutions will be licensed. If we incur such expenditures and fail to secure revenue from such customers, our results of operations may be adversely affected. If we fail to grow our software license revenue, we are likely to consequently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fail to grow our maintenance and service revenue, which would further adversely affect our results of operation. Further, because of the significant costs associated with qualifying new suppliers, customers are likely to use the same or an enhanced version of solution from existing suppliers across a number of similar and successor products for a lengthy period of time. As a result, if we fail to sell our solutions to any particular potential new customer, we may lose the opportunity to make future sales of those solutions to that potential customer for a significant period of time, or at all, and we may experience an associated decline in revenue relating to those products.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may not be able to maintain or expand sales to our significant customers for a variety of reasons, and our customers can stop incorporating or using our solutions, decline to renew their agreements or terminate their agreements, often with limited notice to us and often with little or no penalty. The loss of any significant customers, a reduction in sales to any significant customers, a significant delay or negative development in our customers’ product development plans, or our inability to attract new significant customers or secure new significant design wins, could negatively impact our business.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The cyclical nature of the semiconductor and photonics industries may limit our ability to maintain or improve our revenue.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semiconductor and photonics industries are highly cyclical and are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and thus demand for our software solutions. We have experienced downturns in the past and may experience such downturns in the future. For example, the industry experienced a significant downturn in connection with the global recession in 2008, and further experienced a downturn in 2020, as a result of the COVID-19 pandemic.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These downturns have been characterized by diminished product demand, production overcapacity, high inventory levels and accelerated erosion of average selling prices. Recent downturns have directly impacted our business, as has been the case with many other companies, suppliers, distributors and customers in the semiconductor and photonics industries and other industries around the world, and any prolonged or significant future downturns in the semiconductor and photonics industries could harm our business.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depend on growth in the semiconductor and photonics industries and in the end markets that use our products. Any slowdown in the growth of these industries and end markets could harm our business.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growth of our TCAD, EDA and SIP markets are dependent on the semiconductor and photonics industries. A substantial portion of our business and revenue depends upon the commencement of new design projects by semiconductor manufacturers, systems companies and their customers. The increasing complexity of designs of SoC, ICs and electronic systems, and customers’ concerns about managing costs, have previously led to, and in the future could lead to, a decrease in design starts and design activity in general. For example, in response to this increasing complexity, some customers may choose to focus on one discrete phase of the design process or opt for less advanced, but less risky, manufacturing processes that may not require new or enhanced design solutions. Demand for our software solutions and services could decrease and our financial condition and results of operations could be adversely affected if growth in the semiconductor and photonics industries slows or stalls, including due to the impact of inflation or a sustained global supply chain disruption. Inflation has fluctuated in the last several years in the United States and globally, including significant increases as a result of global supply chain issues, increased government spending and monetary policy, a rise in energy prices, and strong consumer demand coming out of the COVID-19 pandemic. As we experienced, an inflationary environment can increase our cost of labor, energy and other operating costs and could also impact and reduce the number of customers who purchase our software solutions as credit becomes more expensive or unavailable.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Furthermore, many of our customers outsource the manufacturing of their semiconductor designs to foundries. Our customers also frequently incorporate third-party IP, whether provided by us or other vendors, into their designs to improve the efficiency of their design process. However, if we fail to optimize our EDA and SIP solutions for use with major foundries’ manufacturing processes or major IP providers’ products, or if our access to such foundry processes or third-party IP licenses is hampered, then our solutions may become less desirable to our customers, resulting in an adverse effect on our business and financial condition.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continued success will also depend in large part on general economic growth and growth within our target markets including the display, power devices, automotive, memory, HPC, IoT, and 5G/6G mobile markets. Factors affecting these markets could seriously harm our customers and/or end customers and, as a result, harm us, examples of which include: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Reduced sales of our customers’ and/or end customers’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The effects of catastrophic and other disruptive events at our customers’ and/or end customers’ offices or facilities;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Increased costs associated with potential disruptions to our customers’ and/or end customers’ supply chain and other manufacturing and production operations, including supply chain issues like those caused by the COVID-19 pandemic and similar disruptions that may occur in future;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The deterioration of our customers’ and/or end customers’ financial condition;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Delays and project cancellations as a result of design flaws in the products developed by our customers and/or end customers;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The inability of our customers and/or end customers to dedicate the resources necessary to promote and commercialize their products;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inability of our customers and/or end customers to adapt to changing technological demands resulting in their products becoming obsolete;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 xml:space="preserve">The failure of our customers’ and/or end customers’ products to achieve market success and gain broad market acceptance.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Any slowdown in the growth of these end markets could harm our business.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If we are unable to deliver new and innovative software solutions or software license enhancements ahead of rapid technological changes in the market, our revenues could be materially adversely affected.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operate in an industry generally characterized by rapidly changing technology and frequent new product introductions that can render existing products obsolete or unmarketable. A major factor in our future success will be our ability to anticipate technological changes and to develop and introduce, in a timely manner, enhancements to our existing software solutions to meet those changes. If we are unable to introduce new software solutions and to respond quickly to industry changes, our business, financial condition, results of operations and cash flows could be materially adversely affected.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introduction and marketing of new or enhanced software solutions requires us to manage the transition from existing software licenses to minimize disruptions in customer purchasing patterns. There can be no assurance that we will be successful in developing and marketing, on a timely basis, new software solutions, or software license enhancements that our new software licenses will address the changing needs of the marketplace, or that we will successfully manage the transition from existing products. From time to time, we may agree to hold back certain of our software license enhancements for exclusive use of one or a small number of customers, which may limit our ability to timely adapt our broader software solutions range to meet technological innovation by our competitors or the needs of our other customers.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Our success depends on the interoperability of our software solutions with our customers’ intended use cases and with products and services of other companies, including our competitors.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success of our software solutions depends on the interoperability of our software with our customers’ intended use cases and often depends on the existing products and services of other companies, including our direct competitors. As a result, our customers’ bookings may rapidly evolve, utilize multiple standards, include multiple versions and generations of our software. In addition, to the extent that hardware and software vendors, including our competitors, perceive that their applications or technologies compete with our software solutions or services, they may have an incentive to withhold any cooperation necessary to ensure interoperability, decline to share access or sell to us their proprietary protocols or formats, or engage in practices to actively limit the functionality, compatibility and certification of our software solutions. In addition, competitors may fail to certify or support or continue to certify or support our software solutions for their systems.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any of the foregoing occurs, our software solutions development efforts may be delayed or foreclosed and it may be difficult and more costly for us to achieve functionality that would make our offerings attractive to our customers or potential customers, and we may, among other consequences, lose or fail to increase our market share and experience reduced demand for our services, any of which could negatively impact our business, financial condition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may have to invest more resources in research and development than anticipated, which could increase our operating expenses and negatively affect our operating results.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To contend with industry performance requirements and new applications, engineers, researchers, and other professionals rely extensively on TCAD and EDA software tools to design and optimize advanced IC components. Reliance on TCAD and EDA software tools has increased in recent years as design challenges have become increasingly complex, which influences our development cycle and consequently our performance and results of operations. Additionally, shrinking manufacturing process geometries, application specific customization to improve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computing performance, and adoption of new materials for high voltage applications and photonics computing has led to a rapid increase in the complexity of SoCs. We currently devote substantial resources to the research and development of new and enhanced software solutions. However, we may be required to devote more resources than anticipated to address requirements for specific target markets, new competitors, technological advances in the semiconductor and photonics industries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increase in the foreseeable future as our technology development efforts continue, and there can be no guarantee that our research and development investments will result in software solutions that result in additional revenue.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may also decide to increase our research and development investment to seize customer or market opportunities, which could negatively impact our financial results.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Consolidation among our customers and within the industries in which we operate may negatively impact our operating results.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 number of business combinations, including mergers, asset acquisitions and strategic partnerships, among our customers in the semiconductor and photonics industries have occurred over the last several years, and more could occur in the future. Consolidation among our customers could lead to fewer customers or the loss of customers, increased customer bargaining power or reduced customer spending on software and services. Consolidation among our customers could also reduce the demand for our software solutions and services if customers streamline research and development or operations, reduce purchases or delay purchasing decisions.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Reduced customer spending or the loss of a number of customers, particularly our large customers, could adversely affect our business, financial position and results of operations. In addition, we and our competitors from time to time acquire businesses and technologies to complement and expand our respective software solutions offerings. Consolidated competitors could have considerable financial resources, channel influence, and broad geographic reach, allowing them to engage in competition on the basis of software solution differentiation, pricing, marketing, services, support and more. If any of our competitors consolidate or acquire businesses and technologies that we do not offer, they may be able to offer a larger technology portfolio, additional support and service capability or lower prices, which could negatively impact our business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international sales and operations constitute a substantial portion of our revenue and business operations and could be negatively affected by disruptions in international geographies caused by government actions, trade disputes, direct or indirect acts of war or terrorism, international political or economic instability or other similar events.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 significant portion of our revenue comes from outside the United States. During the three and six months ended June 30, 2025, 70% and 76%, respectively, of our revenue was from international customers. For the comparable periods in 2024 international customers accounted for 49% and 62% of our revenue, respectively. Risks inherent in our international business activities include imposition of government controls, export license requirements, restrictions on the export of critical technology, products and services, political and economic instability, trade restrictions, changes in tariffs and taxes, difficulties in staffing and managing international operations, longer accounts receivable payment cycles and the burdens of complying with a wide variety of foreign laws and regulations. Effective patent, copyright and trade secret protection may not be available in every foreign country in which we sell our software solutions and services. Our business, financial condition, results of operations and cash flows could be materially adversely affected by any of these risks.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we have offices globally with our sales and research and development being conducted in offices located in numerous geographical locations. Moreover, conducting business outside the United States subjects us to a number of additional risks and challenges, including: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Changes in a specific country’s or region’s political, regulatory or economic conditions;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Our ability to maintain our offices and/or operations in countries or regions experiencing military, political or social instability;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A pandemic, epidemic or other outbreak of an infectious disease, such as COVID-19, which may cause us or our distributors, vendors and/or customers to temporarily or completely suspend our or their respective operations in the affected city or country;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Compliance with a wide variety of domestic and foreign laws and regulations (including those of municipalities or provinces where we have operations) and unexpected changes in those laws and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requirements, including uncertainties regarding taxes, social insurance contributions and other payroll taxes and fees to governmental entities, tariffs, quotas, export controls, export licenses and other trade barriers;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Unanticipated restrictions on our ability to sell to foreign customers where sales of software solutions and the provision of services may require export licenses or are prohibited by government action, unfavorable foreign exchange controls and currency exchange rates;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Evolving impacts from tariffs, sanctions or other trade tensions between the United States and other countries, including implementation of new tariffs and retaliatory measures, including specifically U.S.-China trade tensions;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Potential for substantial penalties and litigation related to violations of a wide variety of laws, treaties and regulations, including labor regulations, export control, sanctions and anti-corruption regulations (including the U.S. Foreign Corrupt Practices Act of 1977, as amended, and the U.K. Bribery Act);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Difficulties and costs of staffing and managing international operations across different geographic areas, time zones and cultures;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Changes in diplomatic and trade relationships;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Potential political, legal and economic instability, armed conflict, and civil unrest in the countries in which we and our customers are located;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Difficulty and costs of maintaining effective data security;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Inadequate protection of our IP;</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Nationalization and expropriation;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Restrictions on the transfer of funds to and from foreign countries, including withholding taxes and other potentially negative tax consequences;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Unfavorable and/or changing foreign tax treaties and policies;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Increased exposure to general market and economic conditions outside of the United States; and </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Currency exchange rate fluctuations and the resulting effect on our revenue and expenses, and the cost and risk of entering into hedging transactions if we choose to do so in the future.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ability to increase our customer base and achieve broader market acceptance of our software solutions will depend to a significant extent on our ability to expand our international sales force. We plan to continue expanding our sales force, both domestically and internationally. We also plan to dedicate significant resources to our sales and marketing programs. All of these efforts will require us to invest significant financial and other resources. Our business will be harmed if our sales and marketing efforts do not generate significant increases in revenue or if the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 the occurrence of which could adversely affect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Additionally, countries in certain international regions in which we operate have continued to experience weaknesses in their currency, banking, and equity markets. These weaknesses could adversely affect customer demand for our software solutions and could have an adverse effect on our business, financial condition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face risks associated with doing business in China.</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face increased regulatory uncertainties with respect to our China-based operations, including our wholly foreign-owned enterprise operating in China, any joint ventures we may form or contribute IP or other resources to in the future and sales to China-based customers.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During the three and six months ended June 30, 2025, 28% and 21% of our revenue was derived from customers in China, respectively. For the comparable periods in 2024, customers in China accounted for 17% and 14% of our revenue, respectively. Our operating expenses in China were $0.9 million and $1.7 million, respectively, for the three and six months ended June 30, 2025 and $0.8 million and $1.5 million, respectively, for the comparable periods in 2024.</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June 3, 2021, President Biden issued Executive Order 14032 (Addressing the Threat from Securities Investments that Finance Certain Companies of the People’s Republic of China) targeting entities that are deemed part of the Chinese military-industrial complex. Additionally, on October 7, 2022, the Bureau of Industry and Security of the U.S. Department of Commerce (“BIS”), issued new export controls related to the Chinese semiconductor manufacturing, advanced computing and supercomputer industries. The new export controls impose broad end-use and other restrictions on facilities in China that develop or produce semiconductor chips or manufacturing equipment, which may impact our ability to license or support our software solutions to entities in or doing business with certain advanced AI or “supercomputer” design companies, foundries and manufacturers of assemblies and components in China. In addition, in October 2023 and December 2024, BIS tightened restrictions and compliance burdens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transfer to China (including Macau) of certain advanced artificial intelligence chips, semiconductors and supercomputing items, software and technology subject to U.S. export controls, in addition to restricting sales to certain semiconductor fab facilities in China. Moreover, restrictions were implemented on U.S. persons’ activities in support of the transfer of certain items not subject to U.S. export controls. The extraordinary complexity of these rules, combined with the likelihood of further amendments from BIS, significantly increases our risk of non-compliance, which could result in fines and other penalties, and could change how these rules impact us. While we continue to adjust our policies and practices to ensure compliance with these regulations, and we will seek to mitigate their impact, there can be no assurances that current or future regulations and tariffs will not have a material adverse effect on our business. We maintain policies and procedures reasonably designed to ensure compliance with applicable trade control requirements, laws, and restrictions, including prohibiting the export, re-export or transfer of technology to companies on the Entity List maintained by BIS or other governmental restricted party lists, as well as prohibiting the sale of our products in certain countries. However, due to our global operations, we cannot ensure that our policies and procedures, including related safeguards, will effectively prevent violations, including the unauthorized diversion of products to countries or persons that are the target of U.S. sanctions; the export, re-export, or transfer of technology to companies on BIS’s Entity List or other governmental restricted party lists; failure to comply with rules related to import and export of products; appropriate import product classifications; or other trade accounting requirements, laws, and restrictions.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August 9, 2023, President Biden issued an executive order addressing investments by U.S. persons in companies located in designated countries of concern, currently, China (including Hong Kong and Macau) that engage with certain categories of sensitive technology and products, including semiconductors and microelectronics, quantum information technologies and AI. The executive order requires regulations that would implement limits and potential notification requirements on such investments and was accompanied by an advance notice of proposed rule-making that outlines the intended scope of the program and solicits input from the public regarding the implementation of the executive order. There are no currently effective restrictions or notification requirements; further rule-making is needed to implement the executive order. While we believe it is possible that such regulations may impact our customers, our suppliers, or our business with respect to China, given the uncertainties with respect to the timing and ultimate requirements of these regulations, we are unable to assess the extent of any such impact.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May 2025, the BIS sent letters to certain U.S. developers of EDA tools that export licenses would be required for exporting EDA software to China, although we did not receive such a letter. BIS revoked these export restrictions on July 3, 2025, as part of an agreement intended to ease bilateral trade tensions with China around advanced technologies.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Further U.S. government escalation of restrictions related to China and increased restrictions on Chinese exports may lead to regulatory retaliation by the Chinese government and possibly further escalate geopolitical tensions, and any such scenarios may adversely impact our business. Furthermore, we may, in the future, develop or sell software solutions that are subject to such rules and restrictions. In addition, such export control rules may change or be expanded or interpreted to include the sale of our current software solutions. In addition, geopolitical disruptions among the United States and China could cause general market disruptions and subject our sales efforts in China to licensing restrictions in the future. The prospect of future export controls that are implemented in a similar manner may continue to have an ongoing impact on our business, results of operations or financial conditions. To the extent we are unable to license our software solutions or support to customers in China, our business, including our revenues and our prospects, would be adversely affected.</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customers may fail to pay us in accordance with the terms of their agreements.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our customers fail to pay us in accordance with the terms of our agreements, we may be adversely affected both from the inability to collect amounts due and the cost of enforcing the terms of our agreements, including litigation and arbitration costs. The risk of these issues increases with the term length of our customer arrangements. Furthermore, some of our customers may seek bankruptcy protection or other similar relief and fail to pay amounts due to us, which we have experienced in the past, or may pay those amounts more slowly, either of which could adversely affect our results of operations, financial condition and cash flow.</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Our operations could be disrupted by geopolitical conditions, trade disputes, international boycotts and sanctions, political and social instability, acts of war, terrorist activity or other similar events, which could adversely affect our business, financial condition, and results of operations.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Since we operate on a global basis, our operations could also be disrupted by geopolitical conditions, trade disputes, international boycotts and sanctions, political and social instability, acts of war, terrorist activity or other similar events.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For example, as a result of the conflict between Israel and Hamas, Israel and other regional adversaries, including Hezbollah and Iran, have engaged in direct military hostilities. While we do not currently consider the conflict between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Israel and its adversaries to have had a material impact on our business, the ongoing regional conflict could have a negative impact on the economy and business activity globally, and therefore could adversely affect our results of operations, financial condition and cash flow.</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addition, in response to Russia’s invasion of Ukraine, the United States and certain other countries imposed significant sanctions and export controls against Russia, Belarus and certain individuals and entities connected to Russian or Belarusian political, business and financial organizations, and the United States and certain other countries could impose further sanctions, trade restrictions, and other retaliatory actions should the conflict continue or worsen.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board of directors is responsible for overseeing the risks to our business, including risks related to the ongoing conflict between Israel and its adversaries and between Russia and Ukraine. Such risks include an increased risk of cybersecurity attacks, sanctions, risks related to our employees, service-providers and operations in the affected regions and supply chain disruptions that may affect our customers globally. During the three and six months ended June 30, 2025, we generated $0.3 million and $0.5 million in revenues from customers in the Middle East, respectively. For the comparable periods in 2024, we generated $0.1 million and $0.2 million from customers in the Middle East, respectively. We had no employees in the Middle East during the six months ended June 30, 2025 and the year ended December 31, 2024. While none of our revenue is derived from Russia or Ukraine, we have employees based in both countries and had, prior to the beginning of the conflict, offices in both countries. In response to the ongoing conflict, we closed our office in Moscow, Russia, and our office in Kyiv, Ukraine, has been temporarily closed. Our board of directors has received periodic reports from management regarding the impact of the conflict on us and considered whether such events have had, or are reasonably likely to have, a material impact on us. Unless and until the conflict in Ukraine is stabilized, we do not intend to reopen office locations in either country.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June 30, 2025, we had 10 employees and 4 contractors in Ukraine, all of whom were working remotely. If our employees in Ukraine become subject to a military draft or are unable to work due to the ongoing conflict, the development of our next generation software could be delayed, which could negatively impact our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have taken security measures designed to help protect against cyber-attacks, security breaches and impermissible downloads in Russia and Ukraine. To the extent that our security measures do not timely detect or prevent such cyber-attacks, security breaches or impermissible downloads, we may be subject to a number of risks, including those risks discussed below in “—Risks Related to Intellectual Property, Information Technology and Data Privacy and Security—If our information technology systems, information, or other resources or those of third parties upon which we rely are or were compromised, we could experience adverse consequences resulting from such compromise, including but not limited to damage to our reputation and our business, exposure to liability, and material and adverse effects to our results of operations, potentially irreparably.”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It is not possible to predict the broader consequences of either the Israeli conflict or Russia’s invasion of Ukraine, including related geopolitical tensions, and the measures and retaliatory actions taken by the United States, and other countries in respect thereof as well as any counter measures or retaliatory actions by Russia or Belarus in response, including, for example, potential cyberattacks or the disruption of energy exports, which are likely to cause regional instability, geopolitical shifts, and could materially adversely affect global trade, currency exchange rates, regional economies and the global economy. The situation remains uncertain, and while it is difficult to predict the impact of any of the foregoing, the conflict and actions taken in response to either conflict could, but are not presently expected to, materially increase our costs, disrupt our supply chain, reduce our sales and earnings, impair our ability to raise additional capital when needed on acceptable terms, if at all, or otherwise further adversely affect our business, financial condition,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A substantial portion of our revenue comes from our international sales channels, and we have significant operations in numerous international geographies. As such, any adverse fluctuations in exchange rates could adversely affect our performance.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During the three and six months ended June 30, 2025, 70% and 76%, respectively, of our revenue was from international customers. For the comparable periods in 2024 international customers accounted for 49% and 62% of our revenue, respectively. We expect to continue to generate a significant amount of revenue through international sales in the future. Our international sales team sells our software solutions to new and existing customers, expands installations within the existing customer base, offers consulting services and provides the first line of technical support. The revenues and expenses associated with our international direct sales channels are subject to foreign currency exchange fluctuations, including the potential of a weakening American dollar, which would impact our ability to compete internationally. Fluctuations in exchange rates for Japanese Yen have adversely affected our revenue because of a stronger American dollar in recent years. Our future financial results may be impacted by fluctuations in exchange rates, including Korean Won, Chinese Yuan, and Japanese Yen.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currently do not hedge any of our foreign currency exposure. However, our financial strategies may include hedging practices aimed at mitigating risks associated with foreign exchange fluctuations. However, if our hedging strategies are not executed accurately or if market conditions evolve unpredictably, it could result in significant financial misjudgments. This misalignment in our hedging approach could adversely impact our financial performance.</w:t>
      </w:r>
    </w:p>
    <w:p>
      <w:pPr>
        <w:pStyle w:val="TextBody"/>
        <w:bidi w:val="0"/>
        <w:spacing w:lineRule="auto" w:line="288" w:before="120" w:after="180"/>
        <w:jc w:val="both"/>
        <w:rPr>
          <w:rFonts w:ascii="Arial;sans-serif" w:hAnsi="Arial;sans-serif"/>
          <w:b/>
          <w:i/>
          <w:color w:val="000000"/>
          <w:sz w:val="19"/>
        </w:rPr>
      </w:pPr>
      <w:bookmarkStart w:id="2" w:name="i88141dd95e60400ca812b16feeabe992_179078"/>
      <w:bookmarkEnd w:id="2"/>
      <w:r>
        <w:rPr>
          <w:rFonts w:ascii="Arial;sans-serif" w:hAnsi="Arial;sans-serif"/>
          <w:b/>
          <w:i/>
          <w:color w:val="000000"/>
          <w:sz w:val="19"/>
        </w:rPr>
        <w:t xml:space="preserve">Our ability to raise additional capital in the future may be limited and could prevent us from executing our growth strategy.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ability to operate and expand our business depends on the availability of adequate capital, which in turn depends on cash flow generated by our business and future debt, equity or other applicable financing arrangements. We believe that our cash flow from operations and existing cash and cash equivalents and marketable securities balances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market acceptance of our SIP and other solutions, and our IP deployment solutions;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the need to adapt to changing technologies and technical requirements;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the existence of opportunities for expansion; and </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access to and availability of sufficient management, technical, marketing and financial personnel.</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or other activities. There can be no assurance that additional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employees, consultants and third-party providers have in the past and may in the future engage in misconduct that materially adversely affects us.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employees, consultants and third-party providers have in the past and may in the future engage in misconduct that materially and adversely affects us. For example, a former employee in China impermissibly used our computers and software to write and configure software for other companies. Misconduct by these parties could include intentional failures to comply with the applicable laws and regulations in the United States and abroad, report financial information or data accurately, violate our internal security policies or duties of confidentiality or disclose unauthorized activities to us. Such misconduct could result in loss of proprietary information or trade secrets, legal or regulatory sanctions, loss of important business information and cause serious harm to our reputation. It is not always possible to identify and deter misconduct, and any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if any of our employees, consultants or third-party providers were to engage in or be accused of misconduct, we could be exposed to legal liability, incur substantial costs, loss of proprietary information, our business and reputation could be materially adversely affected, and we could fail to retain key employees.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Periodic reorganizations and adjustments to our sales force could temporarily impact productivity and adversely disrupt our sales.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rely heavily on our direct sales force. From time to time, we reorganize and make adjustments to our sales force in response to such factors as management changes, performance issues, market opportunities and other considerations. These changes may result in a temporary lack of sales production and may adversely impact revenue in future quarters. There can be no assurance that we will not restructure our sales force in future periods or that the transition issues associated with such a restructuring will not recur.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Variations in actual sales activity from sales forecasts could adversely affect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make many operational and strategic decisions based upon short-term and long-term sales forecasts. Our sales personnel continually monitor the status of all proposals, including the estimated closing date and the value of the sale, in order to forecast quarterly and annual sales. These forecasts are subject to significant estimation and are impacted by many external factors. For example, a slowdown in research and development spending or economic factors could cause purchasing decisions to be delayed. A variation in actual sales activity from forecast could cause us to plan or to budget incorrectly and, therefore, could adversely affect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if we provide the investment community with estimates of our expected results of operations based on sales forecasts that vary from actual results, as has previously occurred, we may experience a decrease in our stock price which, in turn, could negatively impact our ability to conduct equity financing and adversely affect our business, financial condition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may not realize the anticipated benefits of our acquisitions or investments, our business could be disrupted because of acquisitions or investments and, depending on how we finance or fund such acquisitions or investments, we could use significant amounts of cash or incur substantial debt.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success depends in part on our ability to continually enhance and broaden our software solutions offerings in order to support our long-term strategic direction, strengthen our competitive position, expand our customer base, provide greater scale to increase our investments in research and development to accelerate innovation, provide increased capabilities to our existing software solutions, supply new software solutions and services, and enhance our distribution channels. Accordingly, our success depends in part on our ability to identify, complete and integrate acquisitions. Over the past several years, we have completed several such acquisitions of companies or strategic assets, and from time to time we will likely seek to acquire or invest in businesses, products, or technologies, such as our March 2025 acquisition of a suite of optical proximity correction tools from Cadence Design Systems, Inc. and our April 2025 acquisition of Tech-X Corporation. Any acquisition, investment or business relationship may result in unforeseen operating difficulties and expenditures, as we have experienced historically. In particular, we may encounter difficulties assimilating or integrating the businesses, technologies, products, personnel or operations of the acquired companies, particularly if the key personnel of the acquired company choose not to work for us, their software is not easily adapted to work with our software solutions or we have difficulty retaining the customers of any acquired business due to changes in ownership, management or otherwise. For example, we have in the past and may in the future face challenges associated with the integration and migration of processes, including issue tracking, release procedures and standardization of license models, which can delay introduction of software solutions. We may be unable to successfully integrate previously acquired businesses and technologies or those acquired in the future, which could adversely impact our business, financial condition and results of operations.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Acquisitions and investments involve numerous risks, including:</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inability to complete the acquisition or investment on commercially acceptable terms;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inability to obtain timely approvals from governmental authorities under competition and antitrust laws and the resulting delay in consummating the acquisition;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risk that we may have difficulty incorporating the acquired technologies or products with our existing software solutions and maintaining uniform standards, controls, procedures, and policies;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risk that we may not realize the anticipated increase in our revenue if a larger than predicted number of customers decline to renew annual leases or software license updates and license support or, if we are unable to sell or license the acquired solutions to our customer base;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unforeseen difficulties in legal entity merger integration activities that may result in legal and tax exposures or the loss of anticipated tax benefits;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disruption of our ongoing businesses and diversion of management attention;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risk that our relationships with current and new employees, customers, partners and distributors could be impaired;</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difficulties in integrating the acquired entities, products or technologies and overcoming any unforeseen technical problems with the acquired products or technologies;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difficulties in operating the acquired business profitably;</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difficulties in preserving and transitioning important licensing, research and development, and customer, distributor and supplier relationships;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difficulties in implementing the appropriate controls and procedures to ensure the acquired entity is in compliance with the Sarbanes-Oxley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risk that the acquisition may result in increased litigation or contingencies, including as described in –“Pending or future investigations or litigation could have a material adverse effect on our results of operations and our stock price” below;</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risks associated with entering lines of business or geographies in which we have no or limited prior experience;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unanticipated costs, expenses or liabilities.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any future acquisitions or investments may result in: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issuances of dilutive equity securities, which may be at a discount to market price;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use of significant amounts of cash;</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incurrence of debt;</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assumption of significant liabilities;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unfavorable financing terms;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large one-time expenses;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the creation of certain intangible assets, including goodwill, the write-down of which may result in significant charges to earnings.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Any of these factors could have a material adverse effect on our business, financial condition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If we lose the services of our senior executives or key technical personnel who possess specialized industry knowledge and technical skills, or are unable to hire additional key personnel, it could reduce our ability to compete, to manage our operations effectively, or to develop new software solutions and services.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highly dependent upon the ability and experience of our senior executives and our key technical and other management employees, and we do not maintain key person insurance for any of our employees. Although we have employment agreements with certain employees, the loss of these employees, or any of our other key employees, could adversely affect our ability to conduct our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Further, to be successful, we must also attract and retain key employees who join us organically and through acquisitions. There are a limited number of qualified engineers with specialized applicable skills, and competition for these individuals and other qualified employees is intense and has increased globally, including in major markets such as Asia. Our employees are often recruited aggressively by our competitors and our customers worldwide. Any failure to recruit and retain key employees could harm our business, results of operations and financial condition. Additionally, efforts to recruit and retain qualified employees could be costly and negatively impact our operating expenses.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Historically we have issued equity awards as a key component of our overall compensation. If we are unable to grant attractive equity-based packages in the future, it could limit our ability to attract and retain key employees.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may not be able to effectively manage our growth, and we may need to incur significant expenditures to address the additional operational and control requirements of our growth, either of which could harm our business and operating results.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order to succeed in executing our business plan, we will need to manage our growth effectively as we make acquisitions and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To continue to grow and to meet our ongoing obligations as a public company, we must continue to expand our operational, engineering, accounting and financial systems, procedures, controls, personnel and other internal management systems. We must also expand our reporting and compliance infrastructure to ensure that relevant information is shared with and among management and our board of directors, including with respect to actual or alleged wrongdoing within our Company. We have in the past experienced inadequate reporting and communication regarding wrongdoing, which resulted in delays and inefficiencies in taking appropriate action. Such expansions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or may face additional failures with respect to our reporting and compliance infrastructure. Unless our growth results in an increase in our revenue that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proportionate to the increase in our costs associated with this growth, our operating margins will be adversely affected. If we fail to adequately manage our growth, improve our operational, financial and management information systems, improve our reporting and compliance infrastructure or effectively motivate and manage our new and future employees, it could harm our business.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Our estimates of market opportunity and forecasts of market growth may prove to be inaccurate.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Market opportunity estimates and growth forecasts whether obtained from third-party sources or developed internally, are subject to significant uncertainty and are based on assumptions and estimates that may prove to be inaccurate. The estimates and forecasts we have or may make relating to the size and expected growth of our target market and market demand may also prove to be inaccurate. Assumptions as to the future growth of the integrated circuits and electronic manufacturing markets, and the continued advancement of technology in those industries, may prove to be inaccurate or incorrect. In addition, the estimated global EDA market may not materialize in the timeframe we expect, if ever, and even if the markets meet our current expectations, this should not be taken as indicative of our future growth or prospects. In order to be successful, we will need to continue to develop and advance our software solutions, secure new and renewed bookings, obtain sufficient capital to finance our business and otherwise successfully scale our business and operations. We face a number of challenges in achieving these objectives, including those described elsewhere in these risk factors. There can be no assurance that we will be able to achieve our objectives or successfully grow our business, capture meaningful market share or take advantage of market opportunities.</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Risks Related to Intellectual Property, Information Technology and Data Privacy and Security</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If we are unable to protect our proprietary technology and inventions through patents and other intellectual property rights, our ability to compete successfully and our financial results could be adversely impacted.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seek to protect our proprietary technology and innovations, particularly those relating to our software solutions, through patents, trade secrets and other intellectual property rights. Maintenance of our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Additionally, it is difficult and costly to monitor the use of our intellectual property. It may be the case that our intellectual property is already being infringed and infringement may occur in the future without our knowledge. Litigation may be necessary to enforce our intellectual property rights. Additionally, defending our intellectual property rights might necessitate significant financial and legal resources. Any such expenditure could negatively impact our financial performance.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While it is our policy to protect and defend our rights to our intellectual property, we cannot predict whether steps taken by us to enforce and protect our intellectual property rights will be adequate to prevent infringement, misappropriation, or other violations of our intellectual property rights. Any inability to meaningfully enforce our intellectual property rights could harm our ability to compete. Moreover, 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Any litigation of this nature, regardless of outcome or merit, could materially harm our business and hurt our competitive advantage.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generally control access to and use of our confidential information and trade secrets using internal and external controls, including contractual protections with employees, contractors, and customers. We rely in part on the laws of the United States and international laws to protect our trade secrets.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 However, we cannot guarantee that we have entered into such agreements with every such party and we may not have adequate remedies in case of a breach of any such agreements. Our trade secrets could be disclosed to our competitors or others may independently develop substantially equivalent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technologies or otherwise gain access to our trade secrets. Trade secrets can be difficult to protect and some courts inside and outside of the United States are less willing or unwilling to protect trade secrets.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Despite our efforts to protect our intellectual property, unauthorized parties have, and may in the future copy, misappropriate, or otherwise obtain and use our software, technology, or other information that we regard as our proprietary intellectual property. In addition, we intend to expand our international operations, and effective patent, copyright, trademark, and trade secret, and other intellectual property protection may not be available or may be limited in some foreign countries. We currently have no trademark registrations or pending applications to register trademarks in foreign countries. Further, intellectual property law, including statutory and case law, particularly in the United States, is constantly developing, and any changes in the law could make it harder for us to enforce our rights.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have predominantly developed our proprietary technology and other intellectual property internally, through development by our employees and independent contractors and externally, including through our research institution partners and their students. Our development has taken place globally, including the United States, Brazil, Europe, the Middle East and India. We attempt to protect our intellectual property, technology, and confidential information by requiring our employees, consultants, contractors and developer partners who develop intellectual property on our behalf to enter into confidentiality and invention assignment agreements. However, these agreements may not have been properly entered into on every occasion with the applicable counterparty, and such agreements may not always have been effective when entered into in granting ownership of, controlling access to and distribution of our proprietary information or technology. Certain state laws may require that we provide certain notices with respect to the assignment of particular inventions in such agreements, and we may not have been able to include such specific notice requirements in every occasion that it required. Further, if we failed to enter into one of these agreements, or if the assignment language is found to be insufficient under applicable laws, it may not have effectively granted ownership of certain technology or other intellectual property to us. In such an event, there would be a risk that the applicable counterparty would not be available to (or would not be willing to) assist us in perfecting our ownership of the technology or intellectual property, or the counterparty may even assert ownership rights against us and make claims for fees, damages, or equitable relief with respect to such technology or intellectual property, which may have an adverse effect on our ability to utilize, perfect, or protect our proprietary rights over such technology and intellectual property. Each jurisdiction has different rules regarding the correct language and procedures required to effectively assign intellectual property rights, and we may not have effectively implemented such language and procedures in each jurisdiction on every occasion, which may also limit our ability to perfect and protect our technology and intellectual property rights. Further, these agreements do not prevent our competitors or partners from independently developing technologies that are substantially equivalent or superior to our products. In addition, these agreements may not effectively prevent unauthorized use or disclosure of our confidential information, intellectual property, or technology and may not provide an adequate remedy in the event of unauthorized use or disclosure of our confidential information or technology, or infringement of our intellectual property.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From time to time, particularly over the last several years, we have acquired a portion of our intellectual property from one or more third parties. While we have conducted diligence with respect to such acquisitions, because we did not participate in the development or prosecution of such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technology is subject to the threat of piracy, unauthorized copying and other forms of intellectual property infringement.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regard our technology as proprietary and take measures to protect our technology and other confidential information from infringement. Piracy and other forms of unauthorized copying and use of our technology may become persistent, and policing is difficult. Further, the laws of some countries in which our products are or may be distributed either do not protect our intellectual property rights to the same extent as the laws of the United States, or are poorly enforced. Legal protection of our rights may be ineffective in such countries. In addition, although we take steps to enforce and police our rights, we have in the past and may in the future experience piracy, as factors such as the proliferation of technology designed to circumvent the protection measures used by our business partners or by us, may expand the unauthorized copying and use of our technology.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If we are unable to protect our proprietary technology and inventions through trade secrets, our competitive position and financial results could be adversely affected.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noted above, we seek to protect our proprietary technology and innovations, particularly those relating to our software solutions, as patents, trade secrets and other forms of intellectual property. Additionally, while software and other forms of our proprietary works may be protected under patent or copyright law, in some cases we have chosen not to seek any patents or register any copyrights in these works, and instead, primarily rely on protecting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software as a trade secret. In the United States, trade secrets are protected under the federal Economic Espionage Act of 1996 and the Defend Trade Secrets Act of 2016, or the Defend Trade Secrets Act, and under state law, with many states having adopted the Uniform Trade Secrets Act, or the UTSA. In addition to these federal and state laws inside the United States, under the World Trade Organization’s Trade Related-Aspects of Intellectual Property Rights Agreement, or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and photonics industries are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may be subject to claims that we have wrongfully hired an employee from a competitor, or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Many of our employees, consultants and advisors, or individuals that may in the future serve as our employees, consultants and advisors, are currently or were previously employed at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and employees. Claims that we, our employees, consultants, or advisors have misappropriated the confidential or proprietary information, trade secrets, or know-how of third parties could have a material adverse effect on our business, financial condition, results of operations and prospects.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If our information technology systems, or those of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the ordinary course of our business, we and the third parties upon which we rely, routinely receive, collect, store, process, generate, use, transfer, disclose, make accessible, protect, secure, dispose of, transmit, and share (collectively, process) personal data and other sensitive information, including proprietary technology, trade secrets and other confidential information about our business and our customers, suppliers, and business partners (collectively, sensitive data).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a result, we and the third parties upon which we rely regularly face a variety of evolving risks and threats that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 supported actors.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Some actors now engage, and are expected to continue to engage, in cyber-attacks, including without limitation, nation-state actors for geopolitical reasons and in connection with military conflicts and defense operations. During times of war and other major conflicts, we and the third parties upon which we rely may be vulnerable to a heightened risk of these attacks, including retaliatory cyber-attacks that could materially disrupt our systems, supply chain and operations and ability to provide our services.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persistent threat intrusions), denial-of-service attacks (credential stuffing), credential harvesting, personnel misconduct or error, ransomware attacks, supply chain attacks, software bugs, server malfunctions, software or hardware failures, loss of data or other information technology assets, adware, attacks enhanced or facilitated by AI, telecommunications failures, earthquakes, fires, floods, and other similar threats. We have experienced, and will likely continue to experience, cybersecurity incidents in the normal course of our business; however, to our knowledge, we have not experienced a material cybersecurity incident to date.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particular, severe ransomware attacks are becoming increasingly prevalent and can lead to significant interruptions in our operations, ability to provide our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our reliance on third-party service providers could introduce new cybersecurity risks and vulnerabilities, including supply chain attacks, and other threats to our business operations. We rely on third-party service providers and technologies to operate critical business systems to process sensitive data in a variety of contexts, including, without limitation,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and our vendors may, have periodically experienced attempted cybersecurity attacks that have not resulted in any known breaches or access to our data to date. While we have implemented security measures designed to protect against security incidents, there can be no assurance that these measures will be effective. We take steps to detect, mitigate and remediate vulnerabilities in our information systems (such as our hardware and/or software, including that of third parties upon which we rely). We may not, however, detect and remediate all such vulnerabilities on a timely basis. Further, we may experience delays in developing and deploying remedial measures designed to address any such identified vulnerabilities. Such vulnerabilities could be exploited and result in a security incident.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Additionally, 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interruptions in our operations (including availability of data); financial loss; and other similar harms. Security incidents and attendant consequences may prevent the use of our services or cause customers to stop using our services, deter new customers from using our services, and negatively impact our ability to grow and operate our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Furthermore, we cannot be sure that our cyber insurance policies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our sensitive data or our customers’ sensitive data could be leaked, disclosed, or revealed as a result of or in connection with our employees’, personnel’s, or vendors’ use of generative AI technologies.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software licenses contain third-party open source software components, and failure to comply with the terms of the underlying open source software licenses could restrict our ability to deliver our software licenses or subject us to litigation or other actions.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Some of our software licenses contain software modules licensed to us under “open source” licenses, and we expect to continue to incorporate such open source software in our software licenses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products.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Some open source licenses contain requirements that we make available source code for modifications or derivative works we create based upon the type of open source software we use, or grant other licenses to our intellectual property. We seek to ensure that our proprietary software is not combined with, and does not incorporate, open source software in ways that would require the release of the source code of our proprietary software to the public. However, if we combine our proprietary software with open source software in a certain manner, we could, under certain open source licenses, be required to release the source code of our proprietary software to the public. This would allow our competitors or new entrants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 We incorporate software that is licensed under open source licenses which could require release of proprietary code if such license was released or distributed in any manner that would trigger such a requirement to third parties. We take steps to ensure that such software is not released or distributed. Additionally, some open source projects have vulnerabilities and architectural instabilities and are provided without warranties or services to actively provide us patched versions when available, and which, if not properly addressed, could negatively affect the performance of our products.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Although we have certain processes in place to monitor and manage our use of open source software to avoid subjecting our software licenses to conditions we do not intend, the terms of many open source licenses have not been interpreted by U.S. or foreign courts, and there is a risk that these licenses could be construed in a way that could impose unanticipated conditions or restrictions on our ability to provide or distribute our products. From time to time, there have been claims challenging the ownership of open source software against companies that incorporate open source software into their products, and the licensors of such open source software provide no warranties or indemnities with respect to such claims. As a result, we and our customers could be subject to lawsuits by parties claiming ownership of what we believe to be open source software. Moreover, we cannot assure you that our processes for monitoring and managing our use of open source software in our software licenses has been, or will be, effective.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If we are held to have breached or failed to fully comply with all the terms and conditions of an open source software license, or if an author or other third party that distributes such open source software were to allege that we had not complied with the conditions of one or more of these licenses, we could be required to incur significant legal expenses defending against such allegations, could be subject to significant damages, enjoined from the licensing of our software licenses or other liability, or be required to seek costly licenses from third parties to continue providing our software on terms that, if available at all, are not economically feasible, to re-engineer our software, to discontinue or delay the provision of our software if re-engineering could not be accomplished on a timely basis, or to make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generally available, in source code form, our proprietary code, any of which would adversely affect our business, financial condition and results of operations.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 xml:space="preserve">Software bugs or defects could expose us to liability and harm our reputation and we could lose market share.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Software products frequently contain bugs or defects, especially when first introduced, when new versions are released, or when integrated with technologies developed by acquired companies, and the likelihood of bugs or defects may increase for our business if we accelerate the frequency of its product releases. Customers have in the past identified bugs or defects in our products, and there can be no assurance that bugs or defects will not be found in the future in new or enhanced products after commencement of commercial shipments. Product bugs or defects, including those resulting from third-party licensors, have in the past and may in the future affect the performance or interoperability of our products, could delay the development or release of new products or new versions of products and could adversely affect market acceptance or perception of our products. We are currently in receipt of a request from a customer for compensation as a result of alleged product bugs or defects, and there can be no assurance that we will resolve this matter, or any similar future complaint, in a manner that preserves the customer relationship and does not otherwise adversely affect our business or operating results. In addition, any allegations of manufacturability issues resulting from use of our IP products could, even if untrue, adversely affect our reputation and our customers’ willingness to license IP products from us. Any such bugs or defects or delays in releasing new products or new versions of products or allegations of unsatisfactory performance could cause us to lose customers, increase our service costs, result in diversion of resources, damage to our reputation and subject us to liability for damages, any one of which could materially and adversely affect our business and operating results.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may not be able to continue to obtain licenses to third-party software and intellectual property on reasonable terms or at all, which may disrupt our business and harm our financial results.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license third-party software and other intellectual property for use in research and development and, in several instances, inclusion in our products. We also license third-party software, including the software of our competitors, to test the interoperability of our software solutions with other industry software tools and in connection with our professional services. Our rights to use and employ software and other intellectual property that has been licensed to us, including our rights to develop, manufacture, or sell products covered by claims in licensed patents that are a subject of these licenses, are and will be subject to the continuation of and compliance with the terms of those licenses. We have and may in the future be in breach of a license, which may lead to the termination of rights granted to us under such license. This could result in competitors being able to enter our target markets and compete with us. We also may not be able to further develop, manufacture, or sell the affected products. Our third-party licenses may need to be renegotiated or renewed from time to time, or we may need to obtain new licenses in the future. Some of these licenses may also be terminated by the counterparty for convenience with limited notice to us. Third parties may stop adequately supporting or maintaining their technology, they may become insolvent or cease conducting business in the ordinary course, or they or their technology may be acquired by our competitors. From time to time, our licensors may license their technology to us on condition that we do not provide such technology or licenses incorporating such technology to certain customers. If we are unable to obtain licenses to these third-party software and intellectual property on reasonable terms or at all, we may not be able to sell the affected products, our customers’ use of the licenses may be interrupted, or our software solutions development processes and professional services offerings may be disrupted, which could in turn harm our financial results, our customers, and our reputation.</w:t>
      </w:r>
    </w:p>
    <w:p>
      <w:pPr>
        <w:pStyle w:val="TextBody"/>
        <w:bidi w:val="0"/>
        <w:spacing w:lineRule="auto" w:line="288" w:before="0" w:after="190"/>
        <w:jc w:val="both"/>
        <w:rPr/>
      </w:pPr>
      <w:r>
        <w:rPr>
          <w:rFonts w:ascii="Arial;sans-serif" w:hAnsi="Arial;sans-serif"/>
          <w:b w:val="false"/>
          <w:color w:val="000000"/>
          <w:sz w:val="19"/>
        </w:rPr>
        <w:t>The inclusion of third-party intellectual property in our software solutions can also subject us and our customers to intellectual property infringement claims. Although we seek to mitigate this risk contractually, we have not always been able to, and may not in future be able to sufficiently limit our potential liability. Regardless of outcome, infringement claims may require us to use significant resources and may divert management’s attention. See the risk factor “</w:t>
      </w:r>
      <w:r>
        <w:rPr>
          <w:color w:val="000000"/>
          <w:shd w:fill="FFFFFF" w:val="clear"/>
        </w:rPr>
        <w:t>—</w:t>
      </w:r>
      <w:r>
        <w:rPr>
          <w:rFonts w:ascii="Arial;sans-serif" w:hAnsi="Arial;sans-serif"/>
          <w:b w:val="false"/>
          <w:color w:val="000000"/>
          <w:sz w:val="19"/>
          <w:shd w:fill="FFFFFF" w:val="clear"/>
        </w:rPr>
        <w:t>If we are unable to protect our proprietary technology and inventions through patents and other intellectual property rights, our ability to compete successfully and our financial results could be adversely impacted</w:t>
      </w:r>
      <w:r>
        <w:rPr>
          <w:rFonts w:ascii="Arial;sans-serif" w:hAnsi="Arial;sans-serif"/>
          <w:b w:val="false"/>
          <w:color w:val="000000"/>
          <w:sz w:val="19"/>
        </w:rPr>
        <w:t xml:space="preserve">.”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a regular part of our business, we process sensitive data and these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the past few years, numerous U.S. states, including California, Virginia, Colorado, Connecticut, and Utah,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Outside the United States, an increasing number of laws, regulations, and industry standards may govern data privacy and security. For example, the EU General Data Protection Regulation (“GDPR”), the UK’s GDPR, and China’s Personal Information Protection Law (“PIPL”)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up to 4% of annual global revenue, whichever is greater, or private litigation related to processing of personal data brought by classes of data subjects or consumer protection organizations authorized at law to represent their interests. Additionally, we also target customers in Asia and have operations in China, Korea, Japan, Taiwan and Singapore and may be subject to new and emerging data privacy regimes in Asia, including Japan’s Act on the Protection of Personal Information, and Singapore’s Personal Data Protection Act.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we may be unable to transfer personal data from the EU, the UK and other jurisdictions to the United States or other countries due to data localization requirements or limitations on cross-border data flows. The EU, UK, and other jurisdictions have enacted laws requiring data to be localized or limiting the transfer of personal data to other countries. In particular, the EU and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EU and UK to the United States in compliance with law, such as the EU standard contractual clauses, the UK’s International Data Transfer Agreement / Addendum, and the EU-U.S. Data Privacy Framework and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EU,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the EU)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Risks Related to Intellectual Property Litigation</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may be subject to litigation, regardless of success or merit, that could cause us to incur substantial expenses, reduce our sales, and divert the efforts of our management and other personnel.</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semiconductor and photonics industries are characterized by vigorous protection and pursuit of intellectual property rights and positions, which has resulted in protracted and expensive litigation for many companies. We may receive communications alleging liability for damages or challenging the validity of our intellectual property or proprietary rights.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Furthermore, an adverse determination of any litigation or defense proceedings could put our intellectual property at risk of being invalidated or interpreted narrowly and could put our related pending patent applications at risk of not issuing. Furthermore,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Our ability to compete successfully depends in part on our ability to commercialize our intellectual property solutions without infringing the patent, trade secret, trademark, copyright, or other intellectual property rights of others.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Just as we seek to protect our technology and inventions with patents, trademarks, copyrights, trade secrets and other intellectual property rights, our competitors and other third parties do the same for their technology and inventions. We have no means of knowing the content of patent applications filed by third parties until they are published, and we may not be aware of any patent applications even following their publication or issue.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semiconductor and photonics industries are rife with patent assertion entities and is characterized by frequent litigation regarding patent and other intellectual property rights. From time to time, we receive communications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third parties that allege that our software solutions or technologies infringe their patent or other intellectual property rights. We are currently subject to litigation alleging we have misappropriated trade secrets, as described in further described in the risk factor “—Risks Related to Legal, Regulatory, Accounting and Tax Matters—Pending or future investigations or litigation could have a material adverse effect on our results of operations and our stock price.” As a public company with an increased profile and visibility, we may receive similar communications or lawsuits in the future.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may not be 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Lawsuits or other proceedings resulting from allegations of infringement could subject us to significant liability for damages, invalidate our proprietary rights and harm our business.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the event that any third party succeeds in asserting a valid claim against us or any of our customers, we could be forced to do one or more of the following:</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discontinue selling access to certain technologies that contain the allegedly infringing intellectual property which may result in a decline in our revenue and could result in breach of contract claim by our affected customers and damage to our reputation;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discontinue using trademarks that allegedly infringe the trademarks of others;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stop receiving payment from a customer that can no longer sell the end-product if it contains allegedly infringing intellectual property;</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seek to develop non-infringing technologies, which may be expensive and not be feasible;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incur significant legal expenses;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pay substantial monetary damages to the party whose intellectual property rights we may be found to be infringing; and/or</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we or our customers could be required to seek licenses to the infringed technology that may not be available on commercially reasonable terms, if at all.</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a third party causes us to discontinue the use of any of our technologies, we could be required to design around those technologies. If a third party causes us to discontinue using any of our trademarks, we could be required to adopt alternative brand names. If a third party establishes that they are co-authors of a copyrighted work that we use, we could be required to account for profits arising from exploiting such intellectual property. Each of these scenarios could be costly and time consuming and could have an adverse effect on our results of operations. Any significant impairments of our intellectual property rights from any litigation we face could harm our business and our ability to compete in our industry.</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Any dispute regarding our intellectual property may require us to indemnify customers, the cost of which could harm our business.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any potential dispute involving our patents or other intellectual property, our customers could also become the target of litigation. While we generally try to avoid indemnifying our customers, some of our agreements 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licensing or royalty payments. </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Risks Related to Our Status as a Controlled Company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Upon completion of the IPO in May of 2024, we became a “controlled company” within the meaning of the Nasdaq listing rules and as such are exempt from certain corporate governance requirements.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a result of Ms. Ngai-Pesic and the members of her immediate family collectively holding more than 50% of the voting power of our company, following the completion of the IPO in May, we became a “controlled company” within the meaning of the Nasdaq listing rules. Therefore, we are not required to comply with certain corporate governance rules that would otherwise apply to us as a listed company on Nasdaq, including the requirements that (i) we have a majority of independent directors on our board of directors; (ii) the compensation of our executive officers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determined by a majority of the independent directors or a compensation committee comprised solely of independent directors; and (iii) director nominees selected or recommended for our board be approved either by a majority of the independent directors or a nominating committee comprised solely of independent directors. Following the IPO, we utilize the exemptions described in clauses (ii) and (iii) above and may continue utilizing some or all of the exemptions described above. As a result, while we remain a ”controlled company,” we may not have a majority of independent directors on our board of directors. In addition, our compensation and nominating and corporate governance committees may not consist entirely of independent directors and may not be subject to annual performance evaluations. Should the interests of Ms. Ngai-Pesic and her immediate family members differ from those of our other stockholders, it is possible that the other stockholders might not be afforded such protections as might exist if our board of directors, or our committees, were required to have a majority, or be composed exclusively, of directors who were independent of Ms. Ngai-Pesic and her immediate family members or our management.</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As long as we are a controlled company, your ability to influence matters requiring stockholder approval will be limited, and the interests of our controlling stockholder may conflict with or differ from your interests as a stockholder</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Pesic Family (as defined below) collectively own more than 65% of our total outstanding common stock. For so long as the Pesic Family continue to collectively hold at least 50% of our outstanding common stock, they will be able to elect the members of our board of directors and will have the ability to control all matters affecting us, including:</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through our board of directors, any determination with respect to our business plans and policies, including the appointment and removal of our officers;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any determinations with respect to mergers and other business combinations;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acquisition or disposition of assets;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financing activities;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allocation of business opportunities that may be suitable for us;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payment of dividends on our common stock;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the number of shares available for future issuance and also issuance under our stock plans.</w:t>
      </w:r>
    </w:p>
    <w:p>
      <w:pPr>
        <w:pStyle w:val="TextBody"/>
        <w:bidi w:val="0"/>
        <w:spacing w:lineRule="auto" w:line="288" w:before="0" w:after="190"/>
        <w:jc w:val="both"/>
        <w:rPr/>
      </w:pPr>
      <w:r>
        <w:rPr>
          <w:rFonts w:ascii="Arial;sans-serif" w:hAnsi="Arial;sans-serif"/>
          <w:b w:val="false"/>
          <w:color w:val="000000"/>
          <w:sz w:val="19"/>
          <w:shd w:fill="FFFFFF" w:val="clear"/>
        </w:rPr>
        <w:t xml:space="preserve">Further, for so long as the Stockholders Agreement, dated April 12, 2024, among us and the Pesic Family remains in effect and the Pesic Family owns in the aggregate, at least 25% of the voting power of the then outstanding shares of our capital stock, </w:t>
      </w:r>
      <w:r>
        <w:rPr>
          <w:rFonts w:ascii="Arial;sans-serif" w:hAnsi="Arial;sans-serif"/>
          <w:b w:val="false"/>
          <w:color w:val="000000"/>
          <w:sz w:val="19"/>
        </w:rPr>
        <w:t xml:space="preserve">our amended and restated certificate of incorporation provide </w:t>
      </w:r>
      <w:r>
        <w:rPr>
          <w:rFonts w:ascii="Arial;sans-serif" w:hAnsi="Arial;sans-serif"/>
          <w:b w:val="false"/>
          <w:color w:val="000000"/>
          <w:sz w:val="19"/>
          <w:shd w:fill="FFFFFF" w:val="clear"/>
        </w:rPr>
        <w:t>that the prior written approval or consent of the Pesic Family shall be required for us to (i)</w:t>
      </w:r>
      <w:r>
        <w:rPr>
          <w:color w:val="000000"/>
        </w:rPr>
        <w:t xml:space="preserve"> </w:t>
      </w:r>
      <w:r>
        <w:rPr>
          <w:rFonts w:ascii="Arial;sans-serif" w:hAnsi="Arial;sans-serif"/>
          <w:b w:val="false"/>
          <w:color w:val="000000"/>
          <w:sz w:val="19"/>
          <w:shd w:fill="FFFFFF" w:val="clear"/>
        </w:rPr>
        <w:t xml:space="preserve">implement any amendments to our </w:t>
      </w:r>
      <w:r>
        <w:rPr>
          <w:rFonts w:ascii="Arial;sans-serif" w:hAnsi="Arial;sans-serif"/>
          <w:b w:val="false"/>
          <w:color w:val="000000"/>
          <w:sz w:val="19"/>
        </w:rPr>
        <w:t xml:space="preserve">amended and restated certificate of incorporation or bylaws </w:t>
      </w:r>
      <w:r>
        <w:rPr>
          <w:rFonts w:ascii="Arial;sans-serif" w:hAnsi="Arial;sans-serif"/>
          <w:b w:val="false"/>
          <w:color w:val="000000"/>
          <w:sz w:val="19"/>
          <w:shd w:fill="FFFFFF" w:val="clear"/>
        </w:rPr>
        <w:t>that would adversely affect the Pesic Family’s rights thereunder, (ii) effect or consummate a change of control or approve another merger, consolidation, business combination, sale or acquisition that results in changes in the rights and privileges of holders of equity securities, and (iii) effect the liquidation or dissolution or winding up of our business operations.</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Additionally, the Stockholders Agreement provides the Pesic Family has the ability to designate up to four nominees for our board of directors and one non-voting board observer, depending on ownership levels.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Pesic Family’s collective voting control may discourage transactions involving a change of control of us, including transactions in which you as a holder of our common stock might otherwise receive a premium for your shares over the then current market price.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Pesic Family are not prohibited from selling a controlling interest in us to a third party and may do so without the approval of other stockholders and without providing for a purchase of shares of common stock held by other stockholders. Accordingly, the shares of common stock held by other stockholders may be worth less than they would be if the Pesic Family did not maintain voting control over us.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interests of the Pesic Family could conflict with or differ from the interests as a holder of other stockholders. For example, the concentration of ownership held by the Pesic Family could delay, defer or prevent a change of control of us or impede a merger, takeover or other business combination that other stockholders may otherwise view favorably. So long as the Pesic Family continue to beneficially own a significant amount of our equity, even if such amount is less than 50%, they may continue to be able to strongly influence or effectively control our decisions.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inability to resolve any disputes that arise between us and Ms. Ngai-Pesic, or other members of the Pesic Family, with respect to our past, future and ongoing relationships may adversely affect our operating results.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lease several office facilities from entities controlled by Ms. Ngai-Pesic pursuant to which we recorded a rent expense of $0.1 million and $0.3 million during the three and six months ended June 30, 2025, respectively, and $0.1 million and $0.2 million, respectively for the comparable periods in 2024. Because we are controlled by the Pesic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pPr>
      <w:r>
        <w:rPr>
          <w:rFonts w:ascii="Arial;sans-serif" w:hAnsi="Arial;sans-serif"/>
          <w:b w:val="false"/>
          <w:color w:val="000000"/>
          <w:sz w:val="19"/>
        </w:rPr>
        <w:t xml:space="preserve">Family, we may not have the leverage to negotiate extensions or amendments to our agreements on terms as favorable to us compared to those we would negotiate with an unaffiliated third party. See </w:t>
      </w:r>
      <w:hyperlink w:anchor="i996aa8cb66ad41bcb8b74e1704a963fe_49">
        <w:r>
          <w:rPr>
            <w:rStyle w:val="InternetLink"/>
            <w:rFonts w:ascii="Arial;sans-serif" w:hAnsi="Arial;sans-serif"/>
            <w:b w:val="false"/>
            <w:color w:val="0000FF"/>
            <w:sz w:val="19"/>
            <w:u w:val="single"/>
          </w:rPr>
          <w:t>Note 6</w:t>
        </w:r>
      </w:hyperlink>
      <w:r>
        <w:rPr>
          <w:color w:val="000000"/>
        </w:rPr>
        <w:t xml:space="preserve"> </w:t>
      </w:r>
      <w:r>
        <w:rPr>
          <w:rFonts w:ascii="Arial;sans-serif" w:hAnsi="Arial;sans-serif"/>
          <w:b w:val="false"/>
          <w:color w:val="000000"/>
          <w:sz w:val="19"/>
        </w:rPr>
        <w:t>to our condensed consolidated financial statements and “Management’s Discussion and Analysis of Financial Condition and Results of Operations—Liquidity and Capital Resources.”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More generally, disputes may arise between Ms. Ngai-Pesic, or other members of the Pesic Family, and us or members of our board of directors or management in a number of areas relating to our or their past and ongoing relationships. We may not be able to resolve any potential conflicts, and even if we do, the resolution may be less favorable than if we were dealing with an unaffiliated party.</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Risks Related to Legal, Regulatory, Accounting and Tax Matters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are subject to anti-corruption and anti-money laundering laws with respect to our operations and non-compliance with such laws can subject us to criminal and/or civil liability and harm our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are subject to anti-corruption, anti-bribery, anti-money laundering, and similar laws in the United States and other countries in which we conduct activities, including the U.S. Foreign Corrupt Practices Act of 1977, as amended, or the FCPA, the U.S. domestic bribery statute contained in 18 U.S.C. § 201, the U.S. Travel Act, the USA PATRIOT Act, and the United Kingdom Bribery Act 2010. Anti-corruption and anti-bribery laws, which have been enforced aggressively and are interpreted broadly, generally prohibit companies and their employees, agents, intermediaries and other third parties from directly or indirectly promising, authorizing, making or offering improper payments or other benefits to government officials and others in the private sector. We use third parties, including intermediaries and partners, to support sales of our products. We and these third parties may have direct or indirect interactions with officials and employees of government agencies or state-owned or affiliated entities and we may be held liable for the corrupt or other illegal activities of these third-party intermediaries and partners, our employees, representatives, contractors, and other third parties, even if we do not explicitly authorize such activities. While we have policies and procedures intended to address compliance with anti-corruption, anti-bribery, anti-money laundering and similar laws, we cannot assure you that all of our employees, representatives, contractors, partners, agents, intermediaries or other third parties have not taken, or will not take, actions in violation of our policies and applicable law, for which we may be ultimately held responsible.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Noncompliance with anti-corruption, anti-bribery, and anti-money laundering laws could subject us to investigations, severe criminal or civil sanctions, settlements, prosecution, loss of export privileges, other enforcement actions, disgorgement of profits, significant fines, damages, other civil and criminal penalties or injunctions, whistleblower complaints, adverse media coverage and other consequences. Any investigations, actions or sanctions could harm our reputation, business, operating results and financial condition.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are subject to governmental export and import controls and sanctions, laws and regulations that could impair our ability to compete in international markets due to licensing requirements and subject us to liability if we do not comply with applicable laws and regulations.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software solutions and technology are subject to export control and import laws and regulations of applicable jurisdictions. Certain of our software solutions are subject to U.S. export controls and sanctions, including the Export Administration Regulations, U.S. Customs regulations, and the economic and trade sanctions regulations administered by the U.S. Treasury Department’s Office of Foreign Assets Control (“OFAC”). These laws and regulations may limit our ability to export our software solutions and technology or may require export authorizations and conditions prior to export. Export control and sanctions laws may also prohibit us from selling or providing our software solutions and technology to embargoed countries, regions, governments, persons, and entities. In addition, various countries regulate the importation of certain products, including through import licensing and permitting requirements, which could limit or restrict our ability to sell our products. The exportation, re-exportation, and importation of our software solutions and technology must comply with these laws and regulations. If we fail to comply with these laws and regulations, we and certain of our employees could be subject to substantial civil or criminal penalties, including the possible loss of export or import privileges, as well as reputational harm.</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Complying with export control and sanctions laws and regulations can be time-consuming and result in the delay or loss of sales opportunities. We have taken precautions to prevent our software solutions and technology from being provided in violation of such laws and regulations. However, our software solutions and technology have previously been, and could in the future be, provided in violation of such laws despite the precautions in place. Between August 2019 and June 2022, we filed various voluntary disclosures with BIS regarding potential violations of U.S. export control laws and regulations, specifically, the export of our licenses to certain parties designated on BIS’s Entity List and Unverified List, and the export of certain software modules without a license which was required at the time of the transaction but that were declassified by BIS in October 2020 to a lesser controlled export classification, meaning that such software generally no longer requires an export license. In April 2025, BIS issued a warning letter in response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pPr>
      <w:r>
        <w:rPr>
          <w:rFonts w:ascii="Arial;sans-serif" w:hAnsi="Arial;sans-serif"/>
          <w:b w:val="false"/>
          <w:color w:val="000000"/>
          <w:sz w:val="19"/>
        </w:rPr>
        <w:t>the voluntary self-disclosures instead of pursuing criminal or administrative penalties or taking other enforcement action. However, BIS reserved the right to take future enforcement action should additional information warrant renewed attention. In July and October 2022 and January 2023, we also filed voluntary disclosures with OFAC regarding potential violations of OFAC sanctions programs, specifically the download of certain Company software modules by users in U.S. embargoed countries. In October 2023, we also filed voluntary disclosures with OFAC regarding certain banking transactions made by our third party service provider in Russia on our behalf, through a bank that was sanctioned by OFAC. In July 2024, OFAC issued a cautionary letter regarding the sanctions matters instead of pursuing a civil monetary penalty or taking other enforcement action. However, OFAC reserved the right to take future enforcement action should additional information warrant renewed attention. If either BIS and OFAC chooses to bring an enforcement action against us in relation to any potential</w:t>
      </w:r>
      <w:r>
        <w:rPr>
          <w:color w:val="000000"/>
        </w:rPr>
        <w:t xml:space="preserve"> </w:t>
      </w:r>
      <w:r>
        <w:rPr>
          <w:rFonts w:ascii="Arial;sans-serif" w:hAnsi="Arial;sans-serif"/>
          <w:b w:val="false"/>
          <w:color w:val="000000"/>
          <w:sz w:val="19"/>
        </w:rPr>
        <w:t>violations in the future, such actions could result in the imposition of significant penalties against us.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Changes in our software solutions or technology or changes in applicable export or import laws and regulations may create delays in the introduction and sale of our software solutions and technology in international markets, prevent our customers from deploying our software solutions and technology or, in some cases, prevent the export or import of our software solutions and technology to certain countries, governments or persons altogether.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Any change in export or import laws and regulations, shift in the enforcement or scope of existing laws and regulations, or change in the countries, governments, persons or technologies targeted by such laws and regulations, could also result in decreased use of our software solutions and technology, or in our decreased ability to export or sell our software solutions and technology to existing or potential customers. Any decreased use of our software solutions and technology or limitation on our ability to export or sell our software solutions and technology would likely adversely affect our business, financial condition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Pending or future investigations or litigation could have a material adverse effect on our financial position, results of operations and our stock price.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are involved in various investigations, claims and legal proceedings from time to time that arise in the ordinary course of our business activities, including intellectual property, collaboration, licensing agreement, product liability, employment, class action, whistleblower and other litigation claims, and governmental and other regulatory investigations and proceedings. For example, we have previously commenced legal proceedings against certain of our customers to protect our intellectual property rights and we may do so again in the future, which could result in resentment within our customer base and adversely affect our business, financial condition and results of operations. Our proceedings currently include customary audit activities by various taxing authorities and legal proceedings. </w:t>
      </w:r>
    </w:p>
    <w:p>
      <w:pPr>
        <w:pStyle w:val="TextBody"/>
        <w:bidi w:val="0"/>
        <w:spacing w:lineRule="auto" w:line="288" w:before="0" w:after="190"/>
        <w:jc w:val="both"/>
        <w:rPr/>
      </w:pPr>
      <w:r>
        <w:rPr>
          <w:rFonts w:ascii="Arial;sans-serif" w:hAnsi="Arial;sans-serif"/>
          <w:b w:val="false"/>
          <w:color w:val="000000"/>
          <w:sz w:val="19"/>
        </w:rPr>
        <w:t xml:space="preserve">For example, in December 2020 we sought declaratory relief in the California Superior Court to clarify our obligations regarding the earnout payments due to the former shareholders of Nangate following its acquisition by us in 2018. In May 2025, we and the other parties to the litigation entered into a settlement agreement pursuant to which Silvaco and our co-defendants agreed to pay the Nangate parties’ an aggregate amount of $32.5 million (the “Settlement Payment”) in full resolution of all claims. See </w:t>
      </w:r>
      <w:hyperlink w:anchor="i996aa8cb66ad41bcb8b74e1704a963fe_49">
        <w:r>
          <w:rPr>
            <w:rStyle w:val="InternetLink"/>
            <w:rFonts w:ascii="Arial;sans-serif" w:hAnsi="Arial;sans-serif"/>
            <w:b w:val="false"/>
            <w:color w:val="0000FF"/>
            <w:sz w:val="19"/>
            <w:u w:val="single"/>
          </w:rPr>
          <w:t>Note 6</w:t>
        </w:r>
      </w:hyperlink>
      <w:r>
        <w:rPr>
          <w:color w:val="000000"/>
        </w:rPr>
        <w:t xml:space="preserve"> </w:t>
      </w:r>
      <w:r>
        <w:rPr>
          <w:rFonts w:ascii="Arial;sans-serif" w:hAnsi="Arial;sans-serif"/>
          <w:b w:val="false"/>
          <w:color w:val="000000"/>
          <w:sz w:val="19"/>
        </w:rPr>
        <w:t xml:space="preserve">and </w:t>
      </w:r>
      <w:hyperlink w:anchor="i996aa8cb66ad41bcb8b74e1704a963fe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Changes in our tax rates or exposure to additional tax liabilities or assessments could affect our profitability, and audits by tax authorities could result in additional tax payments for prior periods.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subject to various U.S. and non-U.S. taxes, including direct and indirect taxes, such as corporate income, withholding, customs, excise, value-added, sales and other taxes imposed on our global activities. Significant judgment is required in determining our provisions for taxes, and there are many transactions and calculations where the ultimate tax determination is uncertain.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tax returns are subject to audit by U.S. federal, state and local tax authorities and by non-U.S. tax authorities. If audits result in tax liabilities or assessments different from our reserves, our future results may include unfavorable adjustments to our tax liabilities, and our financial statements could be adversely affected.</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Changes in tax laws could adversely affect our business, financial position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Any significant changes to the tax system in the United States or in other jurisdictions could adversely affect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U.S. Congress, government agencies in non-U.S. jurisdictions where we and our affiliates do business, and the Organization for Economic Cooperation and Development (“OECD”), have recently focused on issues related to the taxation of multinational corporations. One example is in the area of “base erosion and profit shifting,” where profits are claimed to be earned for tax purposes in low-tax jurisdictions, or payments are made between affiliates from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jurisdiction with high tax rates to a jurisdiction with lower tax rates. The OECD has released several components of its comprehensive plan to create an agreed set of international rules for addressing base erosion and profit shifting.</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Because we operate in numerous taxing jurisdictions, the application of the relevant tax laws can be subject to diverging and sometimes conflicting interpretations by the taxing authorities of these jurisdictions. It is not uncommon for taxing authorities in different countries to have conflicting views with respect to, among other things, whether a permanent establishment exists in a particular jurisdiction, the manner in which the arm’s length standard is applied for transfer pricing purposes, or the valuation of intellectual property. For example, if the taxing authority in one country where we operate were to reallocate income from another country where we operate, and the taxing authority in the second country did not agree with the reallocation asserted by the first country, we could become subject to tax on the same income in both countries, resulting in double taxation.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taxing authorities were to allocate income to a higher tax jurisdiction, subject our income to double taxation or assess interest and penalties, it could increase our tax liability, which could adversely affect our business, financial position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the United States, the Tax Cuts and Jobs Act enacted in 2017, the Coronavirus Aid, Relief, and Economic Security Act enacted in 2020, and the Inflation Reduction Act enacted in 2022 made many significant changes to U.S. tax laws. For example, the Tax Cuts and Jobs Act of 2017 eliminated the option to deduct research and experimental expenditures in the year incurred in tax years beginning after December 31, 2021, and taxpayers are instead required to capitalize and amortize such expenditures over five years for research activities conducted in the United States and fifteen years for research activities conducted outside the United States. Although there have been legislative proposals to repeal or defer the capitalization requirement, there can be no assurance that such changes will be made. Future guidance from the Internal Revenue Service and other tax authorities with respect to any tax legislation may affect us, and certain aspects of such legislation could be repealed or modified in future legislation.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Due to the potential for changes in tax laws and regulations or changes in the interpretation thereof (including regulations and interpretations pertaining to recent tax reform in the United States), the ambiguity of tax laws and regulations, the subjectivity of factual interpretations, uncertainties regarding the geographic mix of earnings in any particular period and other factors, our estimates of our effective tax rate and our income tax assets and liabilities may be incorrect and our financial statements could be adversely affected. The impact of these factors may be substantially different from period-to-period.</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Risks Related to the Ownership of Our Common Stock</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The price of our common stock is volatile and this volatility may negatively impact the market price of our common stock. Declines in the price of our common stock could subject us to litigation.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trading price and volume of our common stock have fluctuated, including declines in the trading price since our IPO, and could fluctuate significantly in the future in response to numerous factors, many of which are beyond our control. Such declines and fluctuations could result in investors losing all or part of their investment because they may not be able to sell them at or above the prices paid for them. Factors that have affected and/or could in the future affect the trading price and volume of our common stock include: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variations in our operating results and other financial and operational metrics, including the key financial and operating metrics disclosed in this report, as well as how those results and metrics compare to analyst and investor expectations;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speculation in the market about our operating results;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financial guidance we may provide to the public, any changes in guidance or our failure to meet guidance;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failure of securities analysts to initiate or maintain coverage of us, changes in financial estimates or ratings by any securities analysts who follow us, or our failure to meet these estimates or the expectations of investors;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results of operations that otherwise fail to meet the expectations of securities analysts and investors;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changes in earnings estimates or recommendations by securities analysts, or other changes in investor perceptions of the investment opportunity associated with our common stock relative to other investment alternatives;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events or factors resulting from geopolitical changes, global health crises such as the COVID-19 pandemic, war, incidents of terrorism or responses to these events;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announcements of software solutions or enhancements, strategic alliances or significant agreements or other developments by us or our competitors;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announcements by us or our competitors of mergers or acquisitions or rumors of such transactions involving us or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changes in management, other key personnel or our board of directors;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disruptions in our operations due to security breaches or other issues;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strength of the global economy or the economy in the jurisdictions in which we operate, and market conditions in our industry and those affecting our customers;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trading activity by our controlling stockholders, the Pesic Family, including upon the expiration of contractual lock-up agreements, and other market participants, in whom ownership of our common stock may be concentrated following the IPO;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the potential effects arising if U.S. or global inflationary and/or currency devaluation trends appear or increase;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market conditions in the semiconductor and photonics industries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performance of the equity markets in general and in our industry;</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operating performance of other similar companies;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actual or anticipated developments in our business or our competitors’ businesses or the competitive landscape generally;</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new laws or regulations or new interpretations of existing laws, or regulations applicable to our business;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changes in regulations, including import, export and economic sanctions, laws and regulations, that may expose us to liability and increase our costs;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litigation or other claims against us;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number of shares of our common stock that are available for public trading; and</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any other factors discussed in this Quarterly Report on Form 10-Q.</w:t>
      </w:r>
    </w:p>
    <w:p>
      <w:pPr>
        <w:pStyle w:val="TextBody"/>
        <w:bidi w:val="0"/>
        <w:spacing w:before="0" w:after="4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In addition, if the market for EDA, TCAD, SIP or other technology stocks or the stock market in general experiences a loss of investor confidence, the price of our common stock could decline for reasons unrelated to our business, results of operations or financial condition. The price of our common stock might also decline in reaction to events that affect other companies, even if those events do not directly affect us. Some companies that have experienced volatility in the trading price of their stock have been the subject of securities class action litigation. If we are the subject of such litigation, it could result in substantial costs and could divert our management’s attention and resources, which could adversely affect our business, financial position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have experienced a material weakness in our internal control over financial reporting in the past. If we experience material weaknesses in the future or otherwise fail to maintain an effective system of internal controls in the future, we may not be able to report our financial condition or results of operations accurately or on a timely basis, prevent fraud or file our periodic reports in a timely manner and may incur additional costs to remediate, all of which may adversely affect investor confidence in us and our reported financial information and, as a result, impact the value of our common stock.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a public company, we are subject to Section 404 of the Sarbanes-Oxley Act, or Section 404, which requires that we maintain effective internal control over financial reporting and disclosure controls and procedures. Section 404(a) of the Sarbanes-Oxley Act requires that we include a management report on our internal controls, including an assessment of the effectiveness of our internal controls and financial reporting procedures, beginning with the annual report for our fiscal year ending December 31, 2025. We will also be required to comply with the auditor attestation requirements of Section 404(b) of the Sarbanes-Oxley Act, or Section 404(b), following the later of the date we are deemed to be an “accelerated filer” or a “large accelerated filer,” each as defined in the Exchange Act, or the date we are no longer an “emerging growth company,” as defined in the JOBS Act. See “—We are an “emerging growth company” and a “smaller reporting company” and any decision on our part to comply with certain reduced reporting and disclosure requirements applicable to emerging growth companies could make our common stock less attractive to investors.” In order to comply with Section 404, we must perform system and process evaluations, document our controls and perform testing of our key controls over financial reporting to allow management to report on the effectiveness of our internal control over financial reporting. Our testing will need to include the disclosure of any material weaknesses or significant deficiencies in our internal control over financial reporting identified by our management or our independent registered public accounting firm. Our testing, or the subsequent testing by our independent public accounting firm, may reveal deficiencies in our internal control over financial reporting that are deemed to be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 If we are not able to comply with the requirements of Section 404 in a timely manner, the market price of our stock would likely decline and we could be subject to lawsuits,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sanctions or investigations by regulatory authorities, which would require additional financial and management resources.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have in the past identified material weaknesses in our internal control over financial reporting (“ICFR”). We may discover additional material weaknesses in our system of internal financial and accounting controls and procedures that could result in a material misstatement of our financial statements. Our ICFR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Any failure to maintain internal control over financial reporting or to identify any material weaknesses could severely inhibit our ability to timely and accurately report our financial condition, results of operations or cash flow.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implement or maintain other effective control systems required of public companies, could also adversely affect our future access to the capital markets.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we are unable to conclude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not be able to access to the capital markets, and our stock price may be materially adversely affected. Moreover, we could become subject to investigations by regulatory authorities, which could require additional financial and management resources and result in the imposition of fines or penalties.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are subject to significant regulatory compliance and internal governance requirements, and the failure to comply with such regulatory and governance requirements could result in a loss of sales or the loss of investor confidence in our financial reports, which could have an adverse effect on our stock price.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subject to the rules and regulations of the SEC, including those that require us to report on our internal controls. Compliance with these requirements has and will cause us to incur additional expenses and cause management to divert time from our day-to-day operations. While we anticipate being able to fully comply with these internal control requirements, if we are not able to comply with the Sarbanes-Oxley reporting or certification requirements relating to internal controls, we may be subject to investigations or sanctions by the SEC, Nasdaq or other regulatory authorities.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stock is listed on Nasdaq and we are subject to ongoing financial and corporate governance requirements of Nasdaq. While we anticipate being able to fully comply with applicable Nasdaq requirements, if we are not able to comply, our name may be published on Nasdaq’s daily Non-Compliant Companies list until Nasdaq determines that we have regained compliance or we no longer trade on Nasdaq.</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There is no guarantee that an active and liquid market for our common stock will be sustained and investors may not be able to sell their shares at or above the price at which they were bought, or at all.</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common stock has been trading on a national securities exchange for less than 15 months. An active market in our common stock may not be sustainable or liquid enough for you to sell your shares, especially given the concentration of outstanding shares. If an active market for our common stock is not sustained, holders of our common stock may not be able to liquidate their investment or resell their shares at favorable prices, or at all. An inactive trading market may also impair our ability to raise capital by selling shares of our common stock and enter into strategic partnerships or acquire other complementary products, technologies or businesses by using shares of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Future issuances of our common stock or sales of a substantial number of shares of our common stock in the public market, or the perception that such sales could occur, could cause the price of our common stock to decline.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such sales could occur. We may issue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common stock, preferred stock, convertible securities or other equity or equity linked securities in the future. We also expect to issue common stock to our employees, directors and other service providers pursuant to our equity incentive plans. Such issuances will be dilutive to investors and could cause the price of our common stock to decline. New investors in such issuances could also receive rights senior to those of holders of our common stock.</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sold 6.0 million shares of common stock in the IPO and issued 294,217 shares to Micron in connection with the mandatory conversion of the senior subordinated convertible promissory note (the “Micron Note”), all of which are freely transferable without restriction or additional registration under the Securities Act of 1933, as amended, or the Securities Act.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Substantially all of the remaining 23.3 million shares of our common stock, including all shares held by our executive officers, directors and the holders of substantially all of our equity securities, were subject to lock-up agreements with the underwriters of the IPO, which have since expired. We have registered all shares of common stock that we may issue under equity compensation plans and therefore, those shares can be freely sold in the public market upon issuance, subject to volume limitations applicable to affiliates. Because the restrictions on resale under the lock-up agreements have ended, the market price of our common stock could drop significantly if the holders of those shares sell them or are perceived by the market as intending to sell them.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Other than shares which are vested as of the end of the lock-up period, we do not anticipate satisfying the anticipated tax withholding and remittance obligations as a result of vesting of restricted stock units (“RSUs”) granted to our employees. In such case, applicable holders of RSUs will be able to sell shares underlying their RSUs into the open market to the extent needed to satisfy the anticipated tax withholding and remittance obligations, subject to the restrictions set forth in the lock-up agreements. The sales of shares underlying RSUs into the open market could cause the market price of our common stock to decline significantly. The market’s expectation that such sales could occur (even if they do not) could also cause the market price of our common stock to decline significantly. Any of the aforementioned declines in our stock price could occur even if our business is otherwise doing well and, as a result, you may lose all or a part of your investment. </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If securities analysts or industry analysts downgrade our common stock, publish negative research or reports, or fail to publish reports about our business, our stock price and trading volume could decline.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market price and trading market for our common stock may be influenced by the research and reports that industry or securities analysts publish about us, our business and our market. As a newly public company, the analysts who publish information about our common stock have had relatively little experience with us, which could affect their ability to accurately forecast our results and could make it more likely that we fail to meet their estimates. If one or more of the analysts covering us adversely change their recommendation regarding our stock or change their recommendation about our competitors’ stock, our stock price could decline. If one or more analysts cease coverage of us or fail to regularly publish reports on us, we could lose visibility in the financial markets, which in turn could cause our stock price or trading volume to decline or become volatile.</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have broad discretion in the use of the net proceeds to us from the IPO and may not apply the proceeds in ways that increase our market value or improve our operating results.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management has considerable discretion in the application of the net proceeds from the IPO. The net proceeds we received may be used for corporate purposes that do not increase the value of our business, which could cause our stock price to decline. The failure by our management to apply the net proceeds from the IPO effectively could impair our growth prospects and result in financial losses that could harm our business and cause the price of our common stock to decline. We used a portion of the proceeds of the IPO to repay in full (i) the 2022 Credit Line payable to Ms. Ngai-Pesic and (ii) the loan facility with East West Bank. We have placed unused net proceeds in investments that may not produce income or that lose value. Additionally, we have broad discretion in the use of the net proceeds from the IPO when determining whether to satisfy the anticipated tax withholding and remittance obligations related to vesting of RSUs granted to our employees on their behalf after settling the awards or whether to elect to allow RSU holders to sell into the open market shares underlying RSUs to the extent needed to satisfy tax obligations associated with these vested RSUs.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do not intend to pay dividends on our common stock, so any returns on your investment will be limited to changes in the value of our common stock.</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currently anticipate that we will retain future earnings for the development, operation and expansion of our business and do not anticipate declaring or paying any dividends for the foreseeable future.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any preferred equity securities we may issue in the future, covenants in the agreements governing any future indebtedness, other contractual restrictions and industry trends and any other factors or considerations our board of directors may regard as relevant. Any return to stockholders will therefore be limited to the increase, if any, in our stock price, which may never occur.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amended and restated charter and bylaws designate the Court of Chancery of the State of Delaware as the sole and exclusive forum for certain types of actions and proceedings that may be initiated by our stockholders, and provide that federal district courts will be the sole and exclusive forum for Securities Act claims, which could limit our stockholders’ ability to obtain what they believe to be a favorable judicial forum for disputes with us or our directors, officers or other employees.</w:t>
      </w:r>
    </w:p>
    <w:p>
      <w:pPr>
        <w:pStyle w:val="TextBody"/>
        <w:bidi w:val="0"/>
        <w:spacing w:lineRule="auto" w:line="288" w:before="0" w:after="190"/>
        <w:jc w:val="both"/>
        <w:rPr/>
      </w:pPr>
      <w:r>
        <w:rPr>
          <w:rFonts w:ascii="Arial;sans-serif" w:hAnsi="Arial;sans-serif"/>
          <w:b w:val="false"/>
          <w:color w:val="000000"/>
          <w:sz w:val="19"/>
        </w:rPr>
        <w:t xml:space="preserve">Our charter and bylaws provide that, unless we consent in writing to the selection of an alternative forum, to the fullest extent permitted by law, the Court of Chancery of the State of Delaware (or, if that court lacks subject matter jurisdiction, another federal or state court situated in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the DGCL, our certificate of incorporation, or our bylaws, or any issue, in one or more series, of all or any of the remaining shares of preferred stock, and, in the resolution or resolutions providing for such issue; (iv) </w:t>
      </w:r>
      <w:r>
        <w:rPr>
          <w:rFonts w:ascii="Arial;sans-serif" w:hAnsi="Arial;sans-serif"/>
          <w:b w:val="false"/>
          <w:color w:val="000000"/>
          <w:sz w:val="19"/>
          <w:shd w:fill="FFFFFF" w:val="clear"/>
        </w:rPr>
        <w:t xml:space="preserve">any action to interpret, apply, enforce, or determine the validity of our certificate of incorporation or our bylaws; </w:t>
      </w:r>
      <w:r>
        <w:rPr>
          <w:rFonts w:ascii="Arial;sans-serif" w:hAnsi="Arial;sans-serif"/>
          <w:b w:val="false"/>
          <w:color w:val="000000"/>
          <w:sz w:val="19"/>
        </w:rPr>
        <w:t xml:space="preserve">or (v) any action asserting a claim against us governed by the internal affairs doctrine. </w:t>
      </w:r>
      <w:r>
        <w:rPr>
          <w:rFonts w:ascii="Arial;sans-serif" w:hAnsi="Arial;sans-serif"/>
          <w:b w:val="false"/>
          <w:color w:val="000000"/>
          <w:sz w:val="19"/>
          <w:shd w:fill="FFFFFF" w:val="clear"/>
        </w:rPr>
        <w:t xml:space="preserve">If any such action is filed in a court other than a court located within the State of Delaware, or a Foreign Action, in the name of any stockholder, that stockholder shall be deemed to have consented to: (x) the personal jurisdiction of the state and federal courts located within the State of Delaware in connection with any action brought in any such court to enforce our choice of forum, or an Enforcement Action, and (y) having service of process made upon such stockholder in any such Enforcement Action by service upon such stockholder’s counsel in the Foreign Action as agent for such stockholder, in each case, to the fullest extent permitted by law. </w:t>
      </w:r>
      <w:r>
        <w:rPr>
          <w:rFonts w:ascii="Arial;sans-serif" w:hAnsi="Arial;sans-serif"/>
          <w:b w:val="false"/>
          <w:color w:val="000000"/>
          <w:sz w:val="19"/>
        </w:rPr>
        <w:t>Our charter and bylaws further provide that, unless we consent in writing to the selection of an alternative forum, the federal district courts are the sole and exclusive forum for the resolution of any complaint asserting a cause of action arising under the Securities Act. The choice of forum provisions does not apply to suits brought to enforce any liability or duty created by the Exchange Act or any other claim for which the federal courts have exclusive jurisdiction.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These provisions do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unless we consent in writing to the selection of an alternative forum, the federal district courts of the United States shall, to the fullest extent permitted by law, be the sole and exclusive forum for the resolutions of any complaint asserting a cause of action arising under the Securities Act, including all causes of action asserted against any defendant named in such complaint.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one or more of the choice of forum provisions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General Risk Factors and Risks Related to Being a Public Company</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The requirements of being a public company may strain our resources and distract our management.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Until the IPO, we never operated as a public company and will incur significant legal, accounting and other expenses that we did not incur as a private company. We also have incurred and expect to incur stock-based compensation expense, which we did not incur in any material amount as a private company. Our management team and other personnel will need to devote a substantial amount of time to, and we may not effectively or efficiently manage, our status as a public company. For example, we are subject to the reporting requirements of the Exchange Act, the applicable requirements of the Sarbanes-Oxley Act and the Dodd-Frank Wall Street Reform and Consumer Protection Act, the rules and regulations of the SEC and the rules and regulations of Nasdaq. To comply with the various requirements applicable to public companies, we have had to establish and maintain effective disclosure and financial controls and make changes to our corporate governance practices. If, notwithstanding our efforts to comply with these laws, regulations and standards, we fail to comply, regulatory authorities may initiate legal or administrative proceedings against us and our business may be harmed. Further, failure to comply with these rules might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 As such, we have, and intend to continue to, invest resources to comply with evolving laws, regulations and standards. These investments have, and are likely to continue to, result in increased general and administrative expenses and a diversion of management’s time and attention from revenue-generating activities.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management and other personnel are also required to divert attention from other business matters to devote substantial time to the reporting and other requirements applicable to a public company.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 unable for any reason to respond adequately to the increased demands that will result from being a public company, the quality and timeliness of our financial reporting may suffer, which could result in late filings or the identification of material weaknesses in our internal controls. Any consequences resulting from inaccuracies or delays in our public reporting could cause our stock price to decline, result in litigation and could harm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Additionally, 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Downturns or volatility in general economic conditions could harm our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revenue, gross margin, and ability to achieve and maintain profitability depend significantly on general economic conditions and the demand for software solutions in the markets in which our customers compete. Weaknesses in the global economy and financial markets and any adverse changes in general domestic and global economic conditions that may occur in the future, including any recession, economic slowdown or disruption of credit markets, may lead to, lower demand for products that incorporate our solutions.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we have grown, we have become increasingly subject to the risks arising from adverse changes in domestic and global economic conditions. As a result of the recent economic slowdown and current economic uncertainty, many companies are delaying or reducing technology purchases, which has had, and is expected to continue to have, an impact on our visibility into the closing of new business, as opposed to our recurring business. This slowdown and uncertainty has also contributed to, and may continue to contribute to, reductions in sales, longer sales cycles, and increased price pressures, which could adversely affect our business, financial condition, and results of operations.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Additionally, countries in certain international regions in which we operate have continued to experience weaknesses in their currency, banking, and equity markets. These weaknesses could adversely affect customer demand for our software solutions and could have an adverse effect on our financial condition, results of operations and cash flow.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Adverse developments affecting the financial services industry could adversely affect our liquidity, financial condition and results of operations, either directly or through adverse impacts on certain of our vendors and customers.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as receiver. Similarly, on March 12, 2023, Signature Bank and Silvergate Capital Corp. were each swept into receivership. Although we are not a borrower or party to any financial instruments with SVB, Signature Bank or any other financial institution currently in receivership, if any of the banks which hold our cash deposits were to be placed into receivership, we may be unable to access such funds. As of June 30, 2025, $19.3 million, or 65%, of our cash and cash equivalents and restricted cash were maintained with one financial institution, where our current deposits are in excess of federally insured limits.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are an “emerging growth company” and a “smaller reporting company” and any decision on our part to comply with certain reduced reporting and disclosure requirements applicable to emerging growth companies could make our common stock less attractive to investors.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Section 107 of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will remain an emerging growth company until the earlier of (ii) the last day of the fiscal year (a) in which the fifth anniversary of the completion of the IPO, (b) in which we have total annual gross revenue of at least $1.235 billion or (c) in which we become a large accelerated filer, which means that we have been public for at least 12 months, have filed at least one annual report and the market value of our common stock that is held by non-affiliates exceeds $700.0 million as of the last day of our then-most recently completed second fiscal quarter, and (ii) the date on which we have issued more than $1.0 billion in non-convertible debt during the prior three-year period.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also a “smaller reporting company.” We may continue to be a smaller reporting company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 and, similar to emerging growth companies, smaller reporting companies have reduced disclosure obligations regarding executive compensation.</w:t>
      </w:r>
    </w:p>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May 13, 2024, the Company completed the IPO of an aggregate of 6,000,000 shares of Common Stock at a price to the public of $19.00 per share pursuant to a Registration Statement on Form S-1 that was declared effective on May 8, 2024 (File No. 333-278666). Jefferies LLC and TD Securities (USA) LLC acted as joint book-running managers for the IPO, Needham &amp; Company, LLC as lead manager, and Craig-Hallum Capital Group LLC and Rosenblatt Securities Inc. acted as co-managers for the IPO. The gross proceeds to the Company from the IPO were $114.0 million, with $106.0 million funded to the Company after deducting underwriting discounts and commissions.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Proceeds from the IPO have been used for general corporate purposes, including working capital, selling and marketing activities, research and product development, general and administrative matters, and capital expenditures. Additionally, proceeds were used to repay $2.0 million outstanding under the 2022 Credit Line, repay $4.3 million under the East West Bank Loan, satisfy obligations under the Settlement Agreement, and to pay for shares withheld from employees to satisfy the tax withholding and remittance obligations. There has been no material change in our intended use of proceeds as described in the Registration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0"/>
        <w:jc w:val="left"/>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2"/>
        <w:gridCol w:w="265"/>
        <w:gridCol w:w="266"/>
        <w:gridCol w:w="109"/>
        <w:gridCol w:w="109"/>
        <w:gridCol w:w="109"/>
        <w:gridCol w:w="2749"/>
        <w:gridCol w:w="2599"/>
        <w:gridCol w:w="3697"/>
      </w:tblGrid>
      <w:tr>
        <w:trPr/>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697"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9"/>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9"/>
                  <w:u w:val="single"/>
                </w:rPr>
                <w:t>Amended and Restated Certificate of Incorporation of Silvaco Group, Inc. (filed as Exhibit 3.1 of the Registrant's Current Report on Form 8-K filed with the Securities and Exchange Commission on May 28, 2025)</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9"/>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9"/>
                  <w:u w:val="single"/>
                </w:rPr>
                <w:t>Amended and Restated Bylaws of Silvaco Group, Inc. (filed as Exhibit 3.2 of the Registrant's Current Report on Form 8-K filed with the Securities and Exchange Commission on May 28, 2025)</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10-qexhibit311.htm">
              <w:r>
                <w:rPr>
                  <w:rStyle w:val="InternetLink"/>
                  <w:rFonts w:ascii="Arial;sans-serif" w:hAnsi="Arial;sans-serif"/>
                  <w:b w:val="false"/>
                  <w:color w:val="0000FF"/>
                  <w:sz w:val="19"/>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10-qexhibit311.htm">
              <w:r>
                <w:rPr>
                  <w:rStyle w:val="InternetLink"/>
                  <w:rFonts w:ascii="Arial;sans-serif" w:hAnsi="Arial;sans-serif"/>
                  <w:b w:val="false"/>
                  <w:color w:val="0000FF"/>
                  <w:sz w:val="19"/>
                  <w:u w:val="single"/>
                </w:rPr>
                <w:t>Certification of Principal Executive and Financial Officer pursuant to Exchange Act Rules 13a-14(a) and 15d-14(a), as adopted pursuant to Section 302 of the Sarbanes-Oxley Act of 2002.</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10-qexhibit321.htm">
              <w:r>
                <w:rPr>
                  <w:rStyle w:val="InternetLink"/>
                  <w:rFonts w:ascii="Arial;sans-serif" w:hAnsi="Arial;sans-serif"/>
                  <w:b w:val="false"/>
                  <w:color w:val="0000FF"/>
                  <w:sz w:val="19"/>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10-qexhibit321.htm">
              <w:r>
                <w:rPr>
                  <w:rStyle w:val="InternetLink"/>
                  <w:rFonts w:ascii="Arial;sans-serif" w:hAnsi="Arial;sans-serif"/>
                  <w:b w:val="false"/>
                  <w:color w:val="0000FF"/>
                  <w:sz w:val="19"/>
                  <w:u w:val="single"/>
                </w:rPr>
                <w:t>Certification of Principal Executive and Financial Officer pursuant to 18 U.S.C. Section 1350, as adopted pursuant to Section 906 of the Sarbanes-Oxley Act of 2002.</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XBRL Instance Document – the instance document does not appear in the Interactive Data File because its XBRL tags are embedded within the Inline XBRL document.</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Schema Document.</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Calculation Linkbase Document.</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Definition Linkbase Document.</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Label Linkbase Document.</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Presentation Linkbase Document.</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Cover Page Interactive Data File (formatted as inline XBRL with applicable taxonomy extension information contained in Exhibits 101).</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Filed herewith.</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The certification attached as Exhibit 32.1 accompanying this Quarterly Report on Form 10-Q, is deemed furnished and not filed with the Securities and Exchange Commission and is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0" w:after="19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996aa8cb66ad41bcb8b74e1704a963fe_7">
        <w:r>
          <w:rPr>
            <w:rStyle w:val="InternetLink"/>
            <w:rFonts w:ascii="Arial;sans-serif" w:hAnsi="Arial;sans-serif"/>
            <w:b w:val="false"/>
            <w:color w:val="0000FF"/>
            <w:sz w:val="19"/>
            <w:u w:val="single"/>
          </w:rPr>
          <w:t>Table of Contents</w:t>
        </w:r>
      </w:hyperlink>
    </w:p>
    <w:p>
      <w:pPr>
        <w:pStyle w:val="TextBody"/>
        <w:bidi w:val="0"/>
        <w:spacing w:lineRule="auto" w:line="288" w:before="0" w:after="36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Pursuant to the requirements of the Securities Act of 1933, as amended, the registrant has duly caused this report to be signed on its behalf by the undersigned, thereunto duly authorized, in the City of Santa Clara, State of California, on August 6, 2025.</w:t>
      </w:r>
    </w:p>
    <w:tbl>
      <w:tblPr>
        <w:tblW w:w="5355" w:type="dxa"/>
        <w:jc w:val="left"/>
        <w:tblInd w:w="0" w:type="dxa"/>
        <w:tblLayout w:type="fixed"/>
        <w:tblCellMar>
          <w:top w:w="28" w:type="dxa"/>
          <w:left w:w="28" w:type="dxa"/>
          <w:bottom w:w="28" w:type="dxa"/>
          <w:right w:w="28" w:type="dxa"/>
        </w:tblCellMar>
      </w:tblPr>
      <w:tblGrid>
        <w:gridCol w:w="1715"/>
        <w:gridCol w:w="1504"/>
        <w:gridCol w:w="2136"/>
      </w:tblGrid>
      <w:tr>
        <w:trPr/>
        <w:tc>
          <w:tcPr>
            <w:tcW w:w="1715"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rPr>
            </w:pPr>
            <w:r>
              <w:rPr>
                <w:rFonts w:ascii="Arial;sans-serif" w:hAnsi="Arial;sans-serif"/>
                <w:b w:val="false"/>
                <w:color w:val="000000"/>
                <w:sz w:val="19"/>
              </w:rPr>
              <w:t>SILVACO GROUP, INC.</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rPr>
            </w:pPr>
            <w:r>
              <w:rPr>
                <w:rFonts w:ascii="Arial;sans-serif" w:hAnsi="Arial;sans-serif"/>
                <w:b w:val="false"/>
                <w:color w:val="000000"/>
                <w:sz w:val="19"/>
              </w:rPr>
              <w:t>/s/ Babak A. Taheri</w:t>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90"/>
              <w:jc w:val="left"/>
              <w:rPr>
                <w:rFonts w:ascii="Arial;sans-serif" w:hAnsi="Arial;sans-serif"/>
                <w:b w:val="false"/>
                <w:color w:val="000000"/>
                <w:sz w:val="19"/>
              </w:rPr>
            </w:pPr>
            <w:r>
              <w:rPr>
                <w:rFonts w:ascii="Arial;sans-serif" w:hAnsi="Arial;sans-serif"/>
                <w:b w:val="false"/>
                <w:color w:val="000000"/>
                <w:sz w:val="19"/>
              </w:rPr>
              <w:t>Name: Dr. Babak A. Taheri</w:t>
            </w:r>
          </w:p>
        </w:tc>
      </w:tr>
      <w:tr>
        <w:trPr/>
        <w:tc>
          <w:tcPr>
            <w:tcW w:w="5355" w:type="dxa"/>
            <w:gridSpan w:val="3"/>
            <w:tcBorders/>
            <w:tcMar>
              <w:top w:w="0" w:type="dxa"/>
              <w:left w:w="0" w:type="dxa"/>
              <w:bottom w:w="0" w:type="dxa"/>
              <w:right w:w="0" w:type="dxa"/>
            </w:tcMar>
            <w:vAlign w:val="center"/>
          </w:tcPr>
          <w:p>
            <w:pPr>
              <w:pStyle w:val="TableContents"/>
              <w:bidi w:val="0"/>
              <w:spacing w:lineRule="auto" w:line="288" w:before="0" w:after="190"/>
              <w:jc w:val="left"/>
              <w:rPr>
                <w:rFonts w:ascii="Arial;sans-serif" w:hAnsi="Arial;sans-serif"/>
                <w:b w:val="false"/>
                <w:color w:val="000000"/>
                <w:sz w:val="19"/>
              </w:rPr>
            </w:pPr>
            <w:r>
              <w:rPr>
                <w:rFonts w:ascii="Arial;sans-serif" w:hAnsi="Arial;sans-serif"/>
                <w:b w:val="false"/>
                <w:color w:val="000000"/>
                <w:sz w:val="19"/>
              </w:rPr>
              <w:t>Title: Chief Executive Officer and Principal Financial Officer</w:t>
            </w:r>
          </w:p>
        </w:tc>
      </w:tr>
    </w:tbl>
    <w:p>
      <w:pPr>
        <w:pStyle w:val="TextBody"/>
        <w:bidi w:val="0"/>
        <w:spacing w:before="0" w:after="19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180" w:after="283"/>
        <w:jc w:val="right"/>
        <w:rPr>
          <w:rFonts w:ascii="Helvetica;sans-serif" w:hAnsi="Helvetica;sans-serif"/>
          <w:b/>
          <w:color w:val="000000"/>
          <w:sz w:val="18"/>
        </w:rPr>
      </w:pPr>
      <w:r>
        <w:rPr>
          <w:rFonts w:ascii="Helvetica;sans-serif" w:hAnsi="Helvetica;sans-serif"/>
          <w:b/>
          <w:color w:val="000000"/>
          <w:sz w:val="18"/>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OR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80" w:after="283"/>
        <w:jc w:val="left"/>
        <w:rPr/>
      </w:pPr>
      <w:r>
        <w:rPr>
          <w:rFonts w:ascii="Helvetica;sans-serif" w:hAnsi="Helvetica;sans-serif"/>
          <w:b w:val="false"/>
          <w:color w:val="000000"/>
          <w:sz w:val="18"/>
        </w:rPr>
        <w:t xml:space="preserve">I, Dr. </w:t>
      </w:r>
      <w:r>
        <w:rPr>
          <w:rFonts w:ascii="Arial;sans-serif" w:hAnsi="Arial;sans-serif"/>
          <w:b w:val="false"/>
          <w:color w:val="000000"/>
          <w:sz w:val="18"/>
        </w:rPr>
        <w:t>Babak A. Taheri</w:t>
      </w:r>
      <w:r>
        <w:rPr>
          <w:rFonts w:ascii="Helvetica;sans-serif" w:hAnsi="Helvetica;sans-serif"/>
          <w:b w:val="false"/>
          <w:color w:val="000000"/>
          <w:sz w:val="18"/>
        </w:rPr>
        <w:t>, certify that:</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1.I have reviewed this Quarterly Report on Form 10-Q of Silvaco Group, Inc;</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b.Any fraud, whether or not material, that involves management or other employees who have a significant role in the registrant’s internal control over financial reporting.</w:t>
      </w:r>
    </w:p>
    <w:tbl>
      <w:tblPr>
        <w:tblW w:w="5186"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1314"/>
        <w:gridCol w:w="1314"/>
        <w:gridCol w:w="18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Helvetica;sans-serif" w:hAnsi="Helvetica;sans-serif"/>
                <w:b w:val="false"/>
                <w:color w:val="000000"/>
                <w:sz w:val="18"/>
              </w:rPr>
            </w:pPr>
            <w:r>
              <w:rPr>
                <w:rFonts w:ascii="Helvetica;sans-serif" w:hAnsi="Helvetica;sans-serif"/>
                <w:b w:val="false"/>
                <w:color w:val="000000"/>
                <w:sz w:val="18"/>
              </w:rPr>
              <w:t>By:</w:t>
            </w:r>
          </w:p>
        </w:tc>
        <w:tc>
          <w:tcPr>
            <w:tcW w:w="448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/s/ </w:t>
            </w:r>
            <w:r>
              <w:rPr>
                <w:rFonts w:ascii="Arial;sans-serif" w:hAnsi="Arial;sans-serif"/>
                <w:b w:val="false"/>
                <w:color w:val="000000"/>
                <w:sz w:val="18"/>
              </w:rPr>
              <w:t>Babak A. Taheri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Dr. Babak A. Taheri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Helvetica;sans-serif" w:hAnsi="Helvetica;sans-serif"/>
                <w:b w:val="false"/>
                <w:i/>
                <w:color w:val="000000"/>
                <w:sz w:val="18"/>
              </w:rPr>
            </w:pPr>
            <w:r>
              <w:rPr>
                <w:rFonts w:ascii="Helvetica;sans-serif" w:hAnsi="Helvetica;sans-serif"/>
                <w:b w:val="false"/>
                <w:i/>
                <w:color w:val="000000"/>
                <w:sz w:val="18"/>
              </w:rPr>
              <w:t>Chief Executive Officer and Principal Financial Officer</w:t>
            </w:r>
          </w:p>
        </w:tc>
      </w:tr>
    </w:tbl>
    <w:p>
      <w:pPr>
        <w:pStyle w:val="TextBody"/>
        <w:bidi w:val="0"/>
        <w:spacing w:lineRule="auto" w:line="288"/>
        <w:jc w:val="both"/>
        <w:rPr>
          <w:rFonts w:ascii="Helvetica;sans-serif" w:hAnsi="Helvetica;sans-serif"/>
          <w:b w:val="false"/>
          <w:color w:val="000000"/>
          <w:sz w:val="18"/>
        </w:rPr>
      </w:pPr>
      <w:r>
        <w:rPr>
          <w:rFonts w:ascii="Helvetica;sans-serif" w:hAnsi="Helvetica;sans-serif"/>
          <w:b w:val="false"/>
          <w:color w:val="000000"/>
          <w:sz w:val="18"/>
        </w:rPr>
        <w:t>Date: August 6,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13a-14(b) OR RULE 15d-14(b)</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AND 18 U.S.C. SECTION 1350</w:t>
      </w:r>
    </w:p>
    <w:p>
      <w:pPr>
        <w:pStyle w:val="TextBody"/>
        <w:bidi w:val="0"/>
        <w:spacing w:lineRule="auto" w:line="288" w:before="360" w:after="283"/>
        <w:jc w:val="both"/>
        <w:rPr/>
      </w:pPr>
      <w:r>
        <w:rPr>
          <w:rFonts w:ascii="Helvetica;sans-serif" w:hAnsi="Helvetica;sans-serif"/>
          <w:b w:val="false"/>
          <w:color w:val="000000"/>
          <w:sz w:val="18"/>
        </w:rPr>
        <w:t xml:space="preserve">I, Dr. </w:t>
      </w:r>
      <w:r>
        <w:rPr>
          <w:rFonts w:ascii="Arial;sans-serif" w:hAnsi="Arial;sans-serif"/>
          <w:b w:val="false"/>
          <w:color w:val="000000"/>
          <w:sz w:val="18"/>
        </w:rPr>
        <w:t>Babak A. Taheri</w:t>
      </w:r>
      <w:r>
        <w:rPr>
          <w:rFonts w:ascii="Helvetica;sans-serif" w:hAnsi="Helvetica;sans-serif"/>
          <w:b w:val="false"/>
          <w:color w:val="000000"/>
          <w:sz w:val="18"/>
        </w:rPr>
        <w:t>, Chief Executive Officer and Principal Financial Officer of Silvaco Group Inc. (the “Company”), do hereby certify, pursuant to 18 U.S.C. Section 1350, as adopted pursuant to Section 906 of the Sarbanes-Oxley Act of 2002, that to the best of my knowledge:</w:t>
      </w:r>
    </w:p>
    <w:p>
      <w:pPr>
        <w:pStyle w:val="TextBody"/>
        <w:bidi w:val="0"/>
        <w:spacing w:lineRule="auto" w:line="288" w:before="180" w:after="283"/>
        <w:ind w:left="0" w:right="0" w:hanging="360"/>
        <w:jc w:val="both"/>
        <w:rPr/>
      </w:pPr>
      <w:r>
        <w:rPr>
          <w:color w:val="000000"/>
        </w:rPr>
        <w:t>•</w:t>
      </w:r>
      <w:r>
        <w:rPr>
          <w:rFonts w:ascii="Helvetica;sans-serif" w:hAnsi="Helvetica;sans-serif"/>
          <w:b w:val="false"/>
          <w:color w:val="000000"/>
          <w:sz w:val="18"/>
        </w:rPr>
        <w:t>the Quarterly Report on Form 10-Q of the Company for the quarter ended June 30, 2025 (the “Report”) fully complies with the requirements of Section 13(a) or 15(d) of the Securities Exchange Act of 1934; and</w:t>
      </w:r>
    </w:p>
    <w:p>
      <w:pPr>
        <w:pStyle w:val="TextBody"/>
        <w:bidi w:val="0"/>
        <w:spacing w:lineRule="auto" w:line="288" w:before="180" w:after="283"/>
        <w:ind w:left="0" w:right="0" w:hanging="360"/>
        <w:jc w:val="both"/>
        <w:rPr/>
      </w:pPr>
      <w:r>
        <w:rPr>
          <w:color w:val="000000"/>
        </w:rPr>
        <w:t>•</w:t>
      </w:r>
      <w:r>
        <w:rPr>
          <w:rFonts w:ascii="Helvetica;sans-serif" w:hAnsi="Helvetica;sans-serif"/>
          <w:b w:val="false"/>
          <w:color w:val="000000"/>
          <w:sz w:val="18"/>
        </w:rPr>
        <w:t>the information contained in the Report fairly presents, in all material respects, the financial condition and results of operations of the Company for the periods presented therein.</w:t>
      </w:r>
    </w:p>
    <w:tbl>
      <w:tblPr>
        <w:tblW w:w="5186"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1314"/>
        <w:gridCol w:w="1314"/>
        <w:gridCol w:w="18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448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/s/ </w:t>
            </w:r>
            <w:r>
              <w:rPr>
                <w:rFonts w:ascii="Arial;sans-serif" w:hAnsi="Arial;sans-serif"/>
                <w:b w:val="false"/>
                <w:color w:val="000000"/>
                <w:sz w:val="18"/>
              </w:rPr>
              <w:t>Babak A. Taheri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 Babak A. Taheri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Chief Executive Officer and Principal Financial Officer</w:t>
            </w:r>
          </w:p>
        </w:tc>
      </w:tr>
    </w:tbl>
    <w:p>
      <w:pPr>
        <w:pStyle w:val="TextBody"/>
        <w:bidi w:val="0"/>
        <w:spacing w:lineRule="auto" w:line="288"/>
        <w:jc w:val="both"/>
        <w:rPr>
          <w:rFonts w:ascii="Helvetica;sans-serif" w:hAnsi="Helvetica;sans-serif"/>
          <w:b w:val="false"/>
          <w:color w:val="000000"/>
          <w:sz w:val="18"/>
        </w:rPr>
      </w:pPr>
      <w:r>
        <w:rPr>
          <w:rFonts w:ascii="Helvetica;sans-serif" w:hAnsi="Helvetica;sans-serif"/>
          <w:b w:val="false"/>
          <w:color w:val="000000"/>
          <w:sz w:val="18"/>
        </w:rPr>
        <w:t>Date: August 6, 2025</w:t>
      </w:r>
    </w:p>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Helvetica">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43289/000162828024022867/exhibit31-closing8xk.htm" TargetMode="External"/><Relationship Id="rId3" Type="http://schemas.openxmlformats.org/officeDocument/2006/relationships/hyperlink" Target="https://www.sec.gov/Archives/edgar/data/1943289/000162828025028149/ex-31amendedandrestatedc.htm" TargetMode="External"/><Relationship Id="rId4" Type="http://schemas.openxmlformats.org/officeDocument/2006/relationships/hyperlink" Target="https://www.sec.gov/Archives/edgar/data/1943289/000162828024022867/exhibit32-closing8xk.htm" TargetMode="External"/><Relationship Id="rId5" Type="http://schemas.openxmlformats.org/officeDocument/2006/relationships/hyperlink" Target="https://www.sec.gov/Archives/edgar/data/1943289/000162828024022867/exhibit32-closing8xk.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47711</Words>
  <Characters>265910</Characters>
  <CharactersWithSpaces>312024</CharactersWithSpaces>
  <Paragraphs>2705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