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6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4"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6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001-42043</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Silvaco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480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309" w:lineRule="exact"/>
        <w:rPr>
          <w:sz w:val="24"/>
          <w:szCs w:val="24"/>
          <w:color w:val="auto"/>
        </w:rPr>
      </w:pPr>
    </w:p>
    <w:tbl>
      <w:tblPr>
        <w:tblLayout w:type="fixed"/>
        <w:tblInd w:w="480" w:type="dxa"/>
        <w:tblCellMar>
          <w:top w:w="0" w:type="dxa"/>
          <w:left w:w="0" w:type="dxa"/>
          <w:bottom w:w="0" w:type="dxa"/>
          <w:right w:w="0" w:type="dxa"/>
        </w:tblCellMar>
      </w:tblPr>
      <w:tr>
        <w:trPr>
          <w:trHeight w:val="229"/>
        </w:trPr>
        <w:tc>
          <w:tcPr>
            <w:tcW w:w="2960" w:type="dxa"/>
            <w:vAlign w:val="bottom"/>
          </w:tcPr>
          <w:p>
            <w:pPr>
              <w:jc w:val="center"/>
              <w:ind w:right="415"/>
              <w:spacing w:after="0"/>
              <w:rPr>
                <w:sz w:val="20"/>
                <w:szCs w:val="20"/>
                <w:color w:val="auto"/>
              </w:rPr>
            </w:pPr>
            <w:r>
              <w:rPr>
                <w:rFonts w:ascii="Arial" w:cs="Arial" w:eastAsia="Arial" w:hAnsi="Arial"/>
                <w:sz w:val="17"/>
                <w:szCs w:val="17"/>
                <w:b w:val="1"/>
                <w:bCs w:val="1"/>
                <w:color w:val="auto"/>
                <w:w w:val="99"/>
              </w:rPr>
              <w:t>Delaware</w:t>
            </w:r>
          </w:p>
        </w:tc>
        <w:tc>
          <w:tcPr>
            <w:tcW w:w="3500" w:type="dxa"/>
            <w:vAlign w:val="bottom"/>
          </w:tcPr>
          <w:p>
            <w:pPr>
              <w:jc w:val="center"/>
              <w:ind w:right="75"/>
              <w:spacing w:after="0"/>
              <w:rPr>
                <w:sz w:val="20"/>
                <w:szCs w:val="20"/>
                <w:color w:val="auto"/>
              </w:rPr>
            </w:pPr>
            <w:r>
              <w:rPr>
                <w:rFonts w:ascii="Arial" w:cs="Arial" w:eastAsia="Arial" w:hAnsi="Arial"/>
                <w:sz w:val="17"/>
                <w:szCs w:val="17"/>
                <w:b w:val="1"/>
                <w:bCs w:val="1"/>
                <w:color w:val="auto"/>
              </w:rPr>
              <w:t>7372</w:t>
            </w:r>
          </w:p>
        </w:tc>
        <w:tc>
          <w:tcPr>
            <w:tcW w:w="2480" w:type="dxa"/>
            <w:vAlign w:val="bottom"/>
          </w:tcPr>
          <w:p>
            <w:pPr>
              <w:jc w:val="center"/>
              <w:ind w:left="575"/>
              <w:spacing w:after="0"/>
              <w:rPr>
                <w:sz w:val="20"/>
                <w:szCs w:val="20"/>
                <w:color w:val="auto"/>
              </w:rPr>
            </w:pPr>
            <w:r>
              <w:rPr>
                <w:rFonts w:ascii="Arial" w:cs="Arial" w:eastAsia="Arial" w:hAnsi="Arial"/>
                <w:sz w:val="17"/>
                <w:szCs w:val="17"/>
                <w:b w:val="1"/>
                <w:bCs w:val="1"/>
                <w:color w:val="auto"/>
                <w:w w:val="99"/>
              </w:rPr>
              <w:t>27-1503712</w:t>
            </w:r>
          </w:p>
        </w:tc>
      </w:tr>
      <w:tr>
        <w:trPr>
          <w:trHeight w:val="171"/>
        </w:trPr>
        <w:tc>
          <w:tcPr>
            <w:tcW w:w="2960" w:type="dxa"/>
            <w:vAlign w:val="bottom"/>
          </w:tcPr>
          <w:p>
            <w:pPr>
              <w:jc w:val="center"/>
              <w:ind w:right="415"/>
              <w:spacing w:after="0" w:line="171" w:lineRule="exact"/>
              <w:rPr>
                <w:sz w:val="20"/>
                <w:szCs w:val="20"/>
                <w:color w:val="auto"/>
              </w:rPr>
            </w:pPr>
            <w:r>
              <w:rPr>
                <w:rFonts w:ascii="Arial" w:cs="Arial" w:eastAsia="Arial" w:hAnsi="Arial"/>
                <w:sz w:val="17"/>
                <w:szCs w:val="17"/>
                <w:b w:val="1"/>
                <w:bCs w:val="1"/>
                <w:color w:val="auto"/>
              </w:rPr>
              <w:t>(State or other jurisdiction of</w:t>
            </w:r>
          </w:p>
        </w:tc>
        <w:tc>
          <w:tcPr>
            <w:tcW w:w="3500" w:type="dxa"/>
            <w:vAlign w:val="bottom"/>
          </w:tcPr>
          <w:p>
            <w:pPr>
              <w:jc w:val="center"/>
              <w:ind w:right="75"/>
              <w:spacing w:after="0" w:line="171" w:lineRule="exact"/>
              <w:rPr>
                <w:sz w:val="20"/>
                <w:szCs w:val="20"/>
                <w:color w:val="auto"/>
              </w:rPr>
            </w:pPr>
            <w:r>
              <w:rPr>
                <w:rFonts w:ascii="Arial" w:cs="Arial" w:eastAsia="Arial" w:hAnsi="Arial"/>
                <w:sz w:val="17"/>
                <w:szCs w:val="17"/>
                <w:b w:val="1"/>
                <w:bCs w:val="1"/>
                <w:color w:val="auto"/>
              </w:rPr>
              <w:t>(Primary Standard Industrial</w:t>
            </w:r>
          </w:p>
        </w:tc>
        <w:tc>
          <w:tcPr>
            <w:tcW w:w="2480" w:type="dxa"/>
            <w:vAlign w:val="bottom"/>
          </w:tcPr>
          <w:p>
            <w:pPr>
              <w:jc w:val="center"/>
              <w:ind w:left="575"/>
              <w:spacing w:after="0" w:line="171" w:lineRule="exact"/>
              <w:rPr>
                <w:sz w:val="20"/>
                <w:szCs w:val="20"/>
                <w:color w:val="auto"/>
              </w:rPr>
            </w:pPr>
            <w:r>
              <w:rPr>
                <w:rFonts w:ascii="Arial" w:cs="Arial" w:eastAsia="Arial" w:hAnsi="Arial"/>
                <w:sz w:val="17"/>
                <w:szCs w:val="17"/>
                <w:b w:val="1"/>
                <w:bCs w:val="1"/>
                <w:color w:val="auto"/>
                <w:w w:val="99"/>
              </w:rPr>
              <w:t>(I.R.S. Employer</w:t>
            </w:r>
          </w:p>
        </w:tc>
      </w:tr>
      <w:tr>
        <w:trPr>
          <w:trHeight w:val="235"/>
        </w:trPr>
        <w:tc>
          <w:tcPr>
            <w:tcW w:w="2960" w:type="dxa"/>
            <w:vAlign w:val="bottom"/>
          </w:tcPr>
          <w:p>
            <w:pPr>
              <w:jc w:val="center"/>
              <w:ind w:right="435"/>
              <w:spacing w:after="0"/>
              <w:rPr>
                <w:sz w:val="20"/>
                <w:szCs w:val="20"/>
                <w:color w:val="auto"/>
              </w:rPr>
            </w:pPr>
            <w:r>
              <w:rPr>
                <w:rFonts w:ascii="Arial" w:cs="Arial" w:eastAsia="Arial" w:hAnsi="Arial"/>
                <w:sz w:val="17"/>
                <w:szCs w:val="17"/>
                <w:b w:val="1"/>
                <w:bCs w:val="1"/>
                <w:color w:val="auto"/>
              </w:rPr>
              <w:t>incorporation or organization)</w:t>
            </w:r>
          </w:p>
        </w:tc>
        <w:tc>
          <w:tcPr>
            <w:tcW w:w="3500" w:type="dxa"/>
            <w:vAlign w:val="bottom"/>
          </w:tcPr>
          <w:p>
            <w:pPr>
              <w:jc w:val="center"/>
              <w:ind w:right="75"/>
              <w:spacing w:after="0"/>
              <w:rPr>
                <w:sz w:val="20"/>
                <w:szCs w:val="20"/>
                <w:color w:val="auto"/>
              </w:rPr>
            </w:pPr>
            <w:r>
              <w:rPr>
                <w:rFonts w:ascii="Arial" w:cs="Arial" w:eastAsia="Arial" w:hAnsi="Arial"/>
                <w:sz w:val="17"/>
                <w:szCs w:val="17"/>
                <w:b w:val="1"/>
                <w:bCs w:val="1"/>
                <w:color w:val="auto"/>
              </w:rPr>
              <w:t>Classification Code Number)</w:t>
            </w:r>
          </w:p>
        </w:tc>
        <w:tc>
          <w:tcPr>
            <w:tcW w:w="2480" w:type="dxa"/>
            <w:vAlign w:val="bottom"/>
          </w:tcPr>
          <w:p>
            <w:pPr>
              <w:jc w:val="center"/>
              <w:ind w:left="575"/>
              <w:spacing w:after="0"/>
              <w:rPr>
                <w:sz w:val="20"/>
                <w:szCs w:val="20"/>
                <w:color w:val="auto"/>
              </w:rPr>
            </w:pPr>
            <w:r>
              <w:rPr>
                <w:rFonts w:ascii="Arial" w:cs="Arial" w:eastAsia="Arial" w:hAnsi="Arial"/>
                <w:sz w:val="17"/>
                <w:szCs w:val="17"/>
                <w:b w:val="1"/>
                <w:bCs w:val="1"/>
                <w:color w:val="auto"/>
              </w:rPr>
              <w:t>Identification Number)</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4701 Patrick Henry Drive, Building #23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Santa Clara, CA 95054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(408) 567-1000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4808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Title of each class</w:t>
            </w:r>
          </w:p>
        </w:tc>
        <w:tc>
          <w:tcPr>
            <w:tcW w:w="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Trading Symbol(s)</w:t>
            </w:r>
          </w:p>
        </w:tc>
        <w:tc>
          <w:tcPr>
            <w:tcW w:w="80" w:type="dxa"/>
            <w:vAlign w:val="bottom"/>
          </w:tcPr>
          <w:p>
            <w:pPr>
              <w:spacing w:after="0"/>
              <w:rPr>
                <w:sz w:val="20"/>
                <w:szCs w:val="20"/>
                <w:color w:val="auto"/>
              </w:rPr>
            </w:pP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30"/>
        </w:trPr>
        <w:tc>
          <w:tcPr>
            <w:tcW w:w="3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 par value $0.0001 per share</w:t>
            </w: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rPr>
              <w:t>SVCO</w:t>
            </w:r>
          </w:p>
        </w:tc>
        <w:tc>
          <w:tcPr>
            <w:tcW w:w="8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Arial" w:cs="Arial" w:eastAsia="Arial" w:hAnsi="Arial"/>
                <w:sz w:val="17"/>
                <w:szCs w:val="17"/>
                <w:b w:val="1"/>
                <w:bCs w:val="1"/>
                <w:color w:val="auto"/>
              </w:rPr>
              <w:t>The Nasdaq Stock Market LLC</w:t>
            </w:r>
          </w:p>
        </w:tc>
      </w:tr>
    </w:tbl>
    <w:p>
      <w:pPr>
        <w:spacing w:after="0" w:line="175"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8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Arial" w:cs="Arial" w:eastAsia="Arial" w:hAnsi="Arial"/>
                <w:sz w:val="17"/>
                <w:szCs w:val="17"/>
                <w:color w:val="auto"/>
              </w:rPr>
              <w:t>Accelerated filer</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2120" w:type="dxa"/>
            <w:vAlign w:val="bottom"/>
          </w:tcPr>
          <w:p>
            <w:pPr>
              <w:spacing w:after="0"/>
              <w:rPr>
                <w:sz w:val="20"/>
                <w:szCs w:val="20"/>
                <w:color w:val="auto"/>
              </w:rPr>
            </w:pPr>
            <w:r>
              <w:rPr>
                <w:rFonts w:ascii="Arial" w:cs="Arial" w:eastAsia="Arial" w:hAnsi="Arial"/>
                <w:sz w:val="17"/>
                <w:szCs w:val="17"/>
                <w:color w:val="auto"/>
              </w:rPr>
              <w:t>Non-accelerated filer</w:t>
            </w:r>
          </w:p>
        </w:tc>
        <w:tc>
          <w:tcPr>
            <w:tcW w:w="28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Arial" w:cs="Arial" w:eastAsia="Arial" w:hAnsi="Arial"/>
                <w:sz w:val="17"/>
                <w:szCs w:val="17"/>
                <w:color w:val="auto"/>
              </w:rPr>
              <w:t>Smaller reporting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20" w:type="dxa"/>
            <w:vAlign w:val="bottom"/>
          </w:tcPr>
          <w:p>
            <w:pPr>
              <w:ind w:left="2300"/>
              <w:spacing w:after="0"/>
              <w:rPr>
                <w:sz w:val="20"/>
                <w:szCs w:val="20"/>
                <w:color w:val="auto"/>
              </w:rPr>
            </w:pPr>
            <w:r>
              <w:rPr>
                <w:rFonts w:ascii="Arial" w:cs="Arial" w:eastAsia="Arial" w:hAnsi="Arial"/>
                <w:sz w:val="17"/>
                <w:szCs w:val="17"/>
                <w:color w:val="auto"/>
              </w:rPr>
              <w:t>Emerging growth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70"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2120"/>
        <w:spacing w:after="0" w:line="28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June 17, 2024 the registrant had 26,294,217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60" w:type="dxa"/>
            <w:vAlign w:val="bottom"/>
            <w:gridSpan w:val="9"/>
          </w:tcPr>
          <w:p>
            <w:pPr>
              <w:spacing w:after="0"/>
              <w:rPr>
                <w:sz w:val="20"/>
                <w:szCs w:val="20"/>
                <w:color w:val="auto"/>
              </w:rPr>
            </w:pPr>
            <w:r>
              <w:rPr>
                <w:rFonts w:ascii="Arial" w:cs="Arial" w:eastAsia="Arial" w:hAnsi="Arial"/>
                <w:sz w:val="17"/>
                <w:szCs w:val="17"/>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59"/>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rPr>
              <w:t>Page</w:t>
            </w:r>
          </w:p>
        </w:tc>
      </w:tr>
      <w:tr>
        <w:trPr>
          <w:trHeight w:val="173"/>
        </w:trPr>
        <w:tc>
          <w:tcPr>
            <w:tcW w:w="1140" w:type="dxa"/>
            <w:vAlign w:val="bottom"/>
          </w:tcPr>
          <w:p>
            <w:pPr>
              <w:spacing w:after="0" w:line="172" w:lineRule="exact"/>
              <w:rPr>
                <w:sz w:val="20"/>
                <w:szCs w:val="20"/>
                <w:color w:val="auto"/>
              </w:rPr>
            </w:pPr>
            <w:r>
              <w:rPr>
                <w:rFonts w:ascii="Arial" w:cs="Arial" w:eastAsia="Arial" w:hAnsi="Arial"/>
                <w:sz w:val="17"/>
                <w:szCs w:val="17"/>
                <w:b w:val="1"/>
                <w:bCs w:val="1"/>
                <w:color w:val="auto"/>
              </w:rPr>
              <w:t>PART I.</w:t>
            </w:r>
          </w:p>
        </w:tc>
        <w:tc>
          <w:tcPr>
            <w:tcW w:w="9300" w:type="dxa"/>
            <w:vAlign w:val="bottom"/>
            <w:gridSpan w:val="22"/>
          </w:tcPr>
          <w:p>
            <w:pPr>
              <w:spacing w:after="0" w:line="172" w:lineRule="exact"/>
              <w:rPr>
                <w:sz w:val="20"/>
                <w:szCs w:val="20"/>
                <w:color w:val="auto"/>
              </w:rPr>
            </w:pPr>
            <w:r>
              <w:rPr>
                <w:rFonts w:ascii="Arial" w:cs="Arial" w:eastAsia="Arial" w:hAnsi="Arial"/>
                <w:sz w:val="17"/>
                <w:szCs w:val="17"/>
                <w:color w:val="0000FF"/>
              </w:rPr>
              <w:t>Financial Information</w:t>
            </w:r>
          </w:p>
        </w:tc>
        <w:tc>
          <w:tcPr>
            <w:tcW w:w="440" w:type="dxa"/>
            <w:vAlign w:val="bottom"/>
            <w:gridSpan w:val="2"/>
          </w:tcPr>
          <w:p>
            <w:pPr>
              <w:jc w:val="center"/>
              <w:ind w:left="257"/>
              <w:spacing w:after="0" w:line="172" w:lineRule="exact"/>
              <w:rPr>
                <w:sz w:val="20"/>
                <w:szCs w:val="20"/>
                <w:color w:val="auto"/>
              </w:rPr>
            </w:pPr>
            <w:r>
              <w:rPr>
                <w:rFonts w:ascii="Arial" w:cs="Arial" w:eastAsia="Arial" w:hAnsi="Arial"/>
                <w:sz w:val="17"/>
                <w:szCs w:val="17"/>
                <w:color w:val="0000FF"/>
              </w:rPr>
              <w:t>1</w:t>
            </w:r>
          </w:p>
        </w:tc>
        <w:tc>
          <w:tcPr>
            <w:tcW w:w="3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color w:val="auto"/>
              </w:rPr>
              <w:t>Item 1.</w:t>
            </w:r>
          </w:p>
        </w:tc>
        <w:tc>
          <w:tcPr>
            <w:tcW w:w="9300" w:type="dxa"/>
            <w:vAlign w:val="bottom"/>
            <w:gridSpan w:val="22"/>
          </w:tcPr>
          <w:p>
            <w:pPr>
              <w:spacing w:after="0"/>
              <w:rPr>
                <w:sz w:val="20"/>
                <w:szCs w:val="20"/>
                <w:color w:val="auto"/>
              </w:rPr>
            </w:pPr>
            <w:r>
              <w:rPr>
                <w:rFonts w:ascii="Arial" w:cs="Arial" w:eastAsia="Arial" w:hAnsi="Arial"/>
                <w:sz w:val="17"/>
                <w:szCs w:val="17"/>
                <w:color w:val="0000FF"/>
              </w:rPr>
              <w:t>Financial Statements (unaudited)</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1</w:t>
            </w:r>
          </w:p>
        </w:tc>
        <w:tc>
          <w:tcPr>
            <w:tcW w:w="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2"/>
          </w:tcPr>
          <w:p>
            <w:pPr>
              <w:spacing w:after="0"/>
              <w:rPr>
                <w:sz w:val="20"/>
                <w:szCs w:val="20"/>
                <w:color w:val="auto"/>
              </w:rPr>
            </w:pPr>
            <w:r>
              <w:rPr>
                <w:rFonts w:ascii="Arial" w:cs="Arial" w:eastAsia="Arial" w:hAnsi="Arial"/>
                <w:sz w:val="17"/>
                <w:szCs w:val="17"/>
                <w:color w:val="0000FF"/>
              </w:rPr>
              <w:t>Condensed Consolidated Balance Sheets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1</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2"/>
          </w:tcPr>
          <w:p>
            <w:pPr>
              <w:spacing w:after="0"/>
              <w:rPr>
                <w:sz w:val="20"/>
                <w:szCs w:val="20"/>
                <w:color w:val="auto"/>
              </w:rPr>
            </w:pPr>
            <w:r>
              <w:rPr>
                <w:rFonts w:ascii="Arial" w:cs="Arial" w:eastAsia="Arial" w:hAnsi="Arial"/>
                <w:sz w:val="17"/>
                <w:szCs w:val="17"/>
                <w:color w:val="0000FF"/>
              </w:rPr>
              <w:t>Condensed Consolidated Statements of Income</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2</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2"/>
          </w:tcPr>
          <w:p>
            <w:pPr>
              <w:spacing w:after="0"/>
              <w:rPr>
                <w:sz w:val="20"/>
                <w:szCs w:val="20"/>
                <w:color w:val="auto"/>
              </w:rPr>
            </w:pPr>
            <w:r>
              <w:rPr>
                <w:rFonts w:ascii="Arial" w:cs="Arial" w:eastAsia="Arial" w:hAnsi="Arial"/>
                <w:sz w:val="17"/>
                <w:szCs w:val="17"/>
                <w:color w:val="0000FF"/>
              </w:rPr>
              <w:t>Condensed Consolidated Statements of Comprehensive Income</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3</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0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7"/>
              </w:rPr>
              <w:t>Consolidated Statements of Stockholders' Equity</w:t>
            </w:r>
          </w:p>
        </w:tc>
        <w:tc>
          <w:tcPr>
            <w:tcW w:w="57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2"/>
          </w:tcPr>
          <w:p>
            <w:pPr>
              <w:spacing w:after="0"/>
              <w:rPr>
                <w:sz w:val="20"/>
                <w:szCs w:val="20"/>
                <w:color w:val="auto"/>
              </w:rPr>
            </w:pPr>
            <w:r>
              <w:rPr>
                <w:rFonts w:ascii="Arial" w:cs="Arial" w:eastAsia="Arial" w:hAnsi="Arial"/>
                <w:sz w:val="17"/>
                <w:szCs w:val="17"/>
                <w:color w:val="0000FF"/>
              </w:rPr>
              <w:t>Condensed Consolidated Statements of Cashflows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5</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7"/>
              </w:rPr>
              <w:t>Notes to the Condensed Consolidated Financial Statements</w:t>
            </w:r>
          </w:p>
        </w:tc>
        <w:tc>
          <w:tcPr>
            <w:tcW w:w="48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6</w:t>
            </w:r>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2"/>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19</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3.</w:t>
            </w:r>
          </w:p>
        </w:tc>
        <w:tc>
          <w:tcPr>
            <w:tcW w:w="4360" w:type="dxa"/>
            <w:vAlign w:val="bottom"/>
            <w:gridSpan w:val="16"/>
          </w:tcPr>
          <w:p>
            <w:pPr>
              <w:spacing w:after="0"/>
              <w:rPr>
                <w:sz w:val="20"/>
                <w:szCs w:val="20"/>
                <w:color w:val="auto"/>
              </w:rPr>
            </w:pPr>
            <w:r>
              <w:rPr>
                <w:rFonts w:ascii="Arial" w:cs="Arial" w:eastAsia="Arial" w:hAnsi="Arial"/>
                <w:sz w:val="17"/>
                <w:szCs w:val="17"/>
                <w:color w:val="0000FF"/>
                <w:w w:val="97"/>
              </w:rPr>
              <w:t>Quantitative and Qualitative Disclosures About Market Risk</w:t>
            </w:r>
          </w:p>
        </w:tc>
        <w:tc>
          <w:tcPr>
            <w:tcW w:w="2180" w:type="dxa"/>
            <w:vAlign w:val="bottom"/>
            <w:gridSpan w:val="4"/>
          </w:tcPr>
          <w:p>
            <w:pPr>
              <w:spacing w:after="0"/>
              <w:rPr>
                <w:sz w:val="17"/>
                <w:szCs w:val="17"/>
                <w:color w:val="auto"/>
              </w:rPr>
            </w:pPr>
          </w:p>
        </w:tc>
        <w:tc>
          <w:tcPr>
            <w:tcW w:w="2760" w:type="dxa"/>
            <w:vAlign w:val="bottom"/>
            <w:gridSpan w:val="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29</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4.</w:t>
            </w:r>
          </w:p>
        </w:tc>
        <w:tc>
          <w:tcPr>
            <w:tcW w:w="4360" w:type="dxa"/>
            <w:vAlign w:val="bottom"/>
            <w:gridSpan w:val="16"/>
          </w:tcPr>
          <w:p>
            <w:pPr>
              <w:spacing w:after="0"/>
              <w:rPr>
                <w:sz w:val="20"/>
                <w:szCs w:val="20"/>
                <w:color w:val="auto"/>
              </w:rPr>
            </w:pPr>
            <w:r>
              <w:rPr>
                <w:rFonts w:ascii="Arial" w:cs="Arial" w:eastAsia="Arial" w:hAnsi="Arial"/>
                <w:sz w:val="17"/>
                <w:szCs w:val="17"/>
                <w:color w:val="0000FF"/>
              </w:rPr>
              <w:t>Controls and Procedures</w:t>
            </w:r>
          </w:p>
        </w:tc>
        <w:tc>
          <w:tcPr>
            <w:tcW w:w="4940" w:type="dxa"/>
            <w:vAlign w:val="bottom"/>
            <w:gridSpan w:val="6"/>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29</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1300" w:type="dxa"/>
            <w:vAlign w:val="bottom"/>
            <w:gridSpan w:val="3"/>
          </w:tcPr>
          <w:p>
            <w:pPr>
              <w:spacing w:after="0"/>
              <w:rPr>
                <w:sz w:val="20"/>
                <w:szCs w:val="20"/>
                <w:color w:val="auto"/>
              </w:rPr>
            </w:pPr>
            <w:r>
              <w:rPr>
                <w:rFonts w:ascii="Arial" w:cs="Arial" w:eastAsia="Arial" w:hAnsi="Arial"/>
                <w:sz w:val="17"/>
                <w:szCs w:val="17"/>
                <w:color w:val="0000FF"/>
                <w:w w:val="95"/>
              </w:rPr>
              <w:t>Other Information</w:t>
            </w:r>
          </w:p>
        </w:tc>
        <w:tc>
          <w:tcPr>
            <w:tcW w:w="480" w:type="dxa"/>
            <w:vAlign w:val="bottom"/>
            <w:gridSpan w:val="3"/>
          </w:tcPr>
          <w:p>
            <w:pPr>
              <w:spacing w:after="0"/>
              <w:rPr>
                <w:sz w:val="24"/>
                <w:szCs w:val="24"/>
                <w:color w:val="auto"/>
              </w:rPr>
            </w:pPr>
          </w:p>
        </w:tc>
        <w:tc>
          <w:tcPr>
            <w:tcW w:w="7520" w:type="dxa"/>
            <w:vAlign w:val="bottom"/>
            <w:gridSpan w:val="16"/>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31</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color w:val="auto"/>
              </w:rPr>
              <w:t>Item 1.</w:t>
            </w:r>
          </w:p>
        </w:tc>
        <w:tc>
          <w:tcPr>
            <w:tcW w:w="1380" w:type="dxa"/>
            <w:vAlign w:val="bottom"/>
            <w:gridSpan w:val="4"/>
          </w:tcPr>
          <w:p>
            <w:pPr>
              <w:spacing w:after="0"/>
              <w:rPr>
                <w:sz w:val="20"/>
                <w:szCs w:val="20"/>
                <w:color w:val="auto"/>
              </w:rPr>
            </w:pPr>
            <w:r>
              <w:rPr>
                <w:rFonts w:ascii="Arial" w:cs="Arial" w:eastAsia="Arial" w:hAnsi="Arial"/>
                <w:sz w:val="17"/>
                <w:szCs w:val="17"/>
                <w:color w:val="0000FF"/>
                <w:w w:val="96"/>
              </w:rPr>
              <w:t>Legal Proceedings</w:t>
            </w:r>
          </w:p>
        </w:tc>
        <w:tc>
          <w:tcPr>
            <w:tcW w:w="7920" w:type="dxa"/>
            <w:vAlign w:val="bottom"/>
            <w:gridSpan w:val="18"/>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31</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1A.</w:t>
            </w:r>
          </w:p>
        </w:tc>
        <w:tc>
          <w:tcPr>
            <w:tcW w:w="1380" w:type="dxa"/>
            <w:vAlign w:val="bottom"/>
            <w:gridSpan w:val="4"/>
          </w:tcPr>
          <w:p>
            <w:pPr>
              <w:spacing w:after="0"/>
              <w:rPr>
                <w:sz w:val="20"/>
                <w:szCs w:val="20"/>
                <w:color w:val="auto"/>
              </w:rPr>
            </w:pPr>
            <w:r>
              <w:rPr>
                <w:rFonts w:ascii="Arial" w:cs="Arial" w:eastAsia="Arial" w:hAnsi="Arial"/>
                <w:sz w:val="17"/>
                <w:szCs w:val="17"/>
                <w:color w:val="0000FF"/>
              </w:rPr>
              <w:t>Risk Factors</w:t>
            </w:r>
          </w:p>
        </w:tc>
        <w:tc>
          <w:tcPr>
            <w:tcW w:w="7920" w:type="dxa"/>
            <w:vAlign w:val="bottom"/>
            <w:gridSpan w:val="18"/>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31</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2"/>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62</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3.</w:t>
            </w:r>
          </w:p>
        </w:tc>
        <w:tc>
          <w:tcPr>
            <w:tcW w:w="2360" w:type="dxa"/>
            <w:vAlign w:val="bottom"/>
            <w:gridSpan w:val="10"/>
          </w:tcPr>
          <w:p>
            <w:pPr>
              <w:spacing w:after="0"/>
              <w:rPr>
                <w:sz w:val="20"/>
                <w:szCs w:val="20"/>
                <w:color w:val="auto"/>
              </w:rPr>
            </w:pPr>
            <w:r>
              <w:rPr>
                <w:rFonts w:ascii="Arial" w:cs="Arial" w:eastAsia="Arial" w:hAnsi="Arial"/>
                <w:sz w:val="17"/>
                <w:szCs w:val="17"/>
                <w:color w:val="0000FF"/>
                <w:w w:val="97"/>
              </w:rPr>
              <w:t>Defaults Upon Senior Securities</w:t>
            </w:r>
          </w:p>
        </w:tc>
        <w:tc>
          <w:tcPr>
            <w:tcW w:w="2120" w:type="dxa"/>
            <w:vAlign w:val="bottom"/>
            <w:gridSpan w:val="8"/>
          </w:tcPr>
          <w:p>
            <w:pPr>
              <w:spacing w:after="0"/>
              <w:rPr>
                <w:sz w:val="17"/>
                <w:szCs w:val="17"/>
                <w:color w:val="auto"/>
              </w:rPr>
            </w:pPr>
          </w:p>
        </w:tc>
        <w:tc>
          <w:tcPr>
            <w:tcW w:w="4820" w:type="dxa"/>
            <w:vAlign w:val="bottom"/>
            <w:gridSpan w:val="4"/>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63</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4.</w:t>
            </w:r>
          </w:p>
        </w:tc>
        <w:tc>
          <w:tcPr>
            <w:tcW w:w="2360" w:type="dxa"/>
            <w:vAlign w:val="bottom"/>
            <w:gridSpan w:val="10"/>
          </w:tcPr>
          <w:p>
            <w:pPr>
              <w:spacing w:after="0"/>
              <w:rPr>
                <w:sz w:val="20"/>
                <w:szCs w:val="20"/>
                <w:color w:val="auto"/>
              </w:rPr>
            </w:pPr>
            <w:r>
              <w:rPr>
                <w:rFonts w:ascii="Arial" w:cs="Arial" w:eastAsia="Arial" w:hAnsi="Arial"/>
                <w:sz w:val="17"/>
                <w:szCs w:val="17"/>
                <w:color w:val="0000FF"/>
              </w:rPr>
              <w:t>Mine Safety Disclosures</w:t>
            </w:r>
          </w:p>
        </w:tc>
        <w:tc>
          <w:tcPr>
            <w:tcW w:w="6940" w:type="dxa"/>
            <w:vAlign w:val="bottom"/>
            <w:gridSpan w:val="1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63</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5.</w:t>
            </w:r>
          </w:p>
        </w:tc>
        <w:tc>
          <w:tcPr>
            <w:tcW w:w="1300" w:type="dxa"/>
            <w:vAlign w:val="bottom"/>
            <w:gridSpan w:val="3"/>
          </w:tcPr>
          <w:p>
            <w:pPr>
              <w:spacing w:after="0"/>
              <w:rPr>
                <w:sz w:val="20"/>
                <w:szCs w:val="20"/>
                <w:color w:val="auto"/>
              </w:rPr>
            </w:pPr>
            <w:r>
              <w:rPr>
                <w:rFonts w:ascii="Arial" w:cs="Arial" w:eastAsia="Arial" w:hAnsi="Arial"/>
                <w:sz w:val="17"/>
                <w:szCs w:val="17"/>
                <w:color w:val="0000FF"/>
                <w:w w:val="95"/>
              </w:rPr>
              <w:t>Other Information</w:t>
            </w:r>
          </w:p>
        </w:tc>
        <w:tc>
          <w:tcPr>
            <w:tcW w:w="480" w:type="dxa"/>
            <w:vAlign w:val="bottom"/>
            <w:gridSpan w:val="3"/>
          </w:tcPr>
          <w:p>
            <w:pPr>
              <w:spacing w:after="0"/>
              <w:rPr>
                <w:sz w:val="17"/>
                <w:szCs w:val="17"/>
                <w:color w:val="auto"/>
              </w:rPr>
            </w:pPr>
          </w:p>
        </w:tc>
        <w:tc>
          <w:tcPr>
            <w:tcW w:w="7520" w:type="dxa"/>
            <w:vAlign w:val="bottom"/>
            <w:gridSpan w:val="16"/>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63</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540" w:type="dxa"/>
            <w:vAlign w:val="bottom"/>
            <w:gridSpan w:val="1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6.</w:t>
            </w:r>
          </w:p>
        </w:tc>
        <w:tc>
          <w:tcPr>
            <w:tcW w:w="1300" w:type="dxa"/>
            <w:vAlign w:val="bottom"/>
            <w:gridSpan w:val="3"/>
          </w:tcPr>
          <w:p>
            <w:pPr>
              <w:spacing w:after="0"/>
              <w:rPr>
                <w:sz w:val="20"/>
                <w:szCs w:val="20"/>
                <w:color w:val="auto"/>
              </w:rPr>
            </w:pPr>
            <w:r>
              <w:rPr>
                <w:rFonts w:ascii="Arial" w:cs="Arial" w:eastAsia="Arial" w:hAnsi="Arial"/>
                <w:sz w:val="17"/>
                <w:szCs w:val="17"/>
                <w:color w:val="0000FF"/>
              </w:rPr>
              <w:t>Exhibits</w:t>
            </w:r>
          </w:p>
        </w:tc>
        <w:tc>
          <w:tcPr>
            <w:tcW w:w="8000" w:type="dxa"/>
            <w:vAlign w:val="bottom"/>
            <w:gridSpan w:val="19"/>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64</w:t>
            </w:r>
          </w:p>
        </w:tc>
      </w:tr>
      <w:tr>
        <w:trPr>
          <w:trHeight w:val="142"/>
        </w:trPr>
        <w:tc>
          <w:tcPr>
            <w:tcW w:w="114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and par value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2024</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76"/>
        </w:trPr>
        <w:tc>
          <w:tcPr>
            <w:tcW w:w="8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r>
      <w:tr>
        <w:trPr>
          <w:trHeight w:val="216"/>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280" w:type="dxa"/>
            <w:vAlign w:val="bottom"/>
          </w:tcPr>
          <w:p>
            <w:pPr>
              <w:ind w:left="24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5,739</w:t>
            </w:r>
          </w:p>
        </w:tc>
        <w:tc>
          <w:tcPr>
            <w:tcW w:w="80" w:type="dxa"/>
            <w:vAlign w:val="bottom"/>
          </w:tcPr>
          <w:p>
            <w:pPr>
              <w:spacing w:after="0"/>
              <w:rPr>
                <w:sz w:val="18"/>
                <w:szCs w:val="18"/>
                <w:color w:val="auto"/>
              </w:rPr>
            </w:pPr>
          </w:p>
        </w:tc>
        <w:tc>
          <w:tcPr>
            <w:tcW w:w="5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4,421</w:t>
            </w: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w:t>
            </w:r>
          </w:p>
        </w:tc>
      </w:tr>
      <w:tr>
        <w:trPr>
          <w:trHeight w:val="215"/>
        </w:trPr>
        <w:tc>
          <w:tcPr>
            <w:tcW w:w="8280" w:type="dxa"/>
            <w:vAlign w:val="bottom"/>
          </w:tcPr>
          <w:p>
            <w:pPr>
              <w:ind w:left="240"/>
              <w:spacing w:after="0"/>
              <w:rPr>
                <w:sz w:val="20"/>
                <w:szCs w:val="20"/>
                <w:color w:val="auto"/>
              </w:rPr>
            </w:pPr>
            <w:r>
              <w:rPr>
                <w:rFonts w:ascii="Arial" w:cs="Arial" w:eastAsia="Arial" w:hAnsi="Arial"/>
                <w:sz w:val="16"/>
                <w:szCs w:val="16"/>
                <w:color w:val="auto"/>
              </w:rPr>
              <w:t>Contract assets,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8,749</w:t>
            </w: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w:t>
            </w:r>
          </w:p>
        </w:tc>
      </w:tr>
      <w:tr>
        <w:trPr>
          <w:trHeight w:val="215"/>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Deferred transaction costs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r>
      <w:tr>
        <w:trPr>
          <w:trHeight w:val="210"/>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24,232</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20,888</w:t>
            </w:r>
          </w:p>
        </w:tc>
      </w:tr>
      <w:tr>
        <w:trPr>
          <w:trHeight w:val="195"/>
        </w:trPr>
        <w:tc>
          <w:tcPr>
            <w:tcW w:w="828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5"/>
        </w:trPr>
        <w:tc>
          <w:tcPr>
            <w:tcW w:w="8280" w:type="dxa"/>
            <w:vAlign w:val="bottom"/>
          </w:tcPr>
          <w:p>
            <w:pPr>
              <w:ind w:left="240"/>
              <w:spacing w:after="0"/>
              <w:rPr>
                <w:sz w:val="20"/>
                <w:szCs w:val="20"/>
                <w:color w:val="auto"/>
              </w:rPr>
            </w:pPr>
            <w:r>
              <w:rPr>
                <w:rFonts w:ascii="Arial" w:cs="Arial" w:eastAsia="Arial" w:hAnsi="Arial"/>
                <w:sz w:val="16"/>
                <w:szCs w:val="16"/>
                <w:color w:val="auto"/>
              </w:rPr>
              <w:t>Operating lease right-of-use assets,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2,157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1,963</w:t>
            </w: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5"/>
        </w:trPr>
        <w:tc>
          <w:tcPr>
            <w:tcW w:w="82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9,026</w:t>
            </w: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Long-term portion of contract assets,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r>
      <w:tr>
        <w:trPr>
          <w:trHeight w:val="215"/>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w:t>
            </w:r>
          </w:p>
        </w:tc>
      </w:tr>
      <w:tr>
        <w:trPr>
          <w:trHeight w:val="210"/>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long-term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23,130</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19,997</w:t>
            </w:r>
          </w:p>
        </w:tc>
      </w:tr>
      <w:tr>
        <w:trPr>
          <w:trHeight w:val="209"/>
        </w:trPr>
        <w:tc>
          <w:tcPr>
            <w:tcW w:w="828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47,362</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5"/>
        </w:trPr>
        <w:tc>
          <w:tcPr>
            <w:tcW w:w="82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r>
      <w:tr>
        <w:trPr>
          <w:trHeight w:val="215"/>
        </w:trPr>
        <w:tc>
          <w:tcPr>
            <w:tcW w:w="828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10,255</w:t>
            </w: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w:t>
            </w:r>
          </w:p>
        </w:tc>
      </w:tr>
      <w:tr>
        <w:trPr>
          <w:trHeight w:val="215"/>
        </w:trPr>
        <w:tc>
          <w:tcPr>
            <w:tcW w:w="8280" w:type="dxa"/>
            <w:vAlign w:val="bottom"/>
          </w:tcPr>
          <w:p>
            <w:pPr>
              <w:ind w:left="240"/>
              <w:spacing w:after="0"/>
              <w:rPr>
                <w:sz w:val="20"/>
                <w:szCs w:val="20"/>
                <w:color w:val="auto"/>
              </w:rPr>
            </w:pPr>
            <w:r>
              <w:rPr>
                <w:rFonts w:ascii="Arial" w:cs="Arial" w:eastAsia="Arial" w:hAnsi="Arial"/>
                <w:sz w:val="16"/>
                <w:szCs w:val="16"/>
                <w:color w:val="auto"/>
              </w:rPr>
              <w:t>Deferred revenue, current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7,882</w:t>
            </w: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15"/>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Related party line of credit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r>
        <w:trPr>
          <w:trHeight w:val="210"/>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26,230</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24,993</w:t>
            </w:r>
          </w:p>
        </w:tc>
      </w:tr>
      <w:tr>
        <w:trPr>
          <w:trHeight w:val="195"/>
        </w:trPr>
        <w:tc>
          <w:tcPr>
            <w:tcW w:w="82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 non-current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w:t>
            </w:r>
          </w:p>
        </w:tc>
      </w:tr>
      <w:tr>
        <w:trPr>
          <w:trHeight w:val="215"/>
        </w:trPr>
        <w:tc>
          <w:tcPr>
            <w:tcW w:w="8280" w:type="dxa"/>
            <w:vAlign w:val="bottom"/>
          </w:tcPr>
          <w:p>
            <w:pPr>
              <w:ind w:left="240"/>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Long-term loan facility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r>
      <w:tr>
        <w:trPr>
          <w:trHeight w:val="210"/>
        </w:trPr>
        <w:tc>
          <w:tcPr>
            <w:tcW w:w="8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36,767</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31,483</w:t>
            </w:r>
          </w:p>
        </w:tc>
      </w:tr>
      <w:tr>
        <w:trPr>
          <w:trHeight w:val="195"/>
        </w:trPr>
        <w:tc>
          <w:tcPr>
            <w:tcW w:w="828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280" w:type="dxa"/>
            <w:vAlign w:val="bottom"/>
          </w:tcPr>
          <w:p>
            <w:pPr>
              <w:ind w:left="260"/>
              <w:spacing w:after="0"/>
              <w:rPr>
                <w:sz w:val="20"/>
                <w:szCs w:val="20"/>
                <w:color w:val="auto"/>
              </w:rPr>
            </w:pPr>
            <w:r>
              <w:rPr>
                <w:rFonts w:ascii="Arial" w:cs="Arial" w:eastAsia="Arial" w:hAnsi="Arial"/>
                <w:sz w:val="16"/>
                <w:szCs w:val="16"/>
                <w:color w:val="auto"/>
              </w:rPr>
              <w:t>Common stock, $0.0001 par value; 25,000,000 shares authorized; 20,000,000 shares issued and outstanding</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11,392</w:t>
            </w:r>
          </w:p>
        </w:tc>
      </w:tr>
      <w:tr>
        <w:trPr>
          <w:trHeight w:val="215"/>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r>
      <w:tr>
        <w:trPr>
          <w:trHeight w:val="210"/>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10,595</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9,402</w:t>
            </w:r>
          </w:p>
        </w:tc>
      </w:tr>
      <w:tr>
        <w:trPr>
          <w:trHeight w:val="209"/>
        </w:trPr>
        <w:tc>
          <w:tcPr>
            <w:tcW w:w="828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47,362</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
        </w:trPr>
        <w:tc>
          <w:tcPr>
            <w:tcW w:w="828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r>
    </w:tbl>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7"/>
          <w:szCs w:val="17"/>
          <w:i w:val="1"/>
          <w:iCs w:val="1"/>
          <w:color w:val="auto"/>
        </w:rPr>
        <w:t>(Unaudited, 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12,258</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10,665</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w:t>
            </w:r>
          </w:p>
        </w:tc>
      </w:tr>
      <w:tr>
        <w:trPr>
          <w:trHeight w:val="221"/>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14,291</w:t>
            </w: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2,025</w:t>
            </w:r>
          </w:p>
        </w:tc>
      </w:tr>
      <w:tr>
        <w:trPr>
          <w:trHeight w:val="22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12,266</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3,375</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4,553</w:t>
            </w:r>
          </w:p>
        </w:tc>
      </w:tr>
      <w:tr>
        <w:trPr>
          <w:trHeight w:val="225"/>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10,733</w:t>
            </w:r>
          </w:p>
        </w:tc>
      </w:tr>
      <w:tr>
        <w:trPr>
          <w:trHeight w:val="22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w:t>
            </w: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Income before income tax provision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1,202</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 attributable to common stockholders: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0.04</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computing per share amounts:</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814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20,000,000</w:t>
            </w:r>
          </w:p>
        </w:tc>
      </w:tr>
      <w:tr>
        <w:trPr>
          <w:trHeight w:val="99"/>
        </w:trPr>
        <w:tc>
          <w:tcPr>
            <w:tcW w:w="8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currency translation adjustments</w:t>
            </w:r>
          </w:p>
        </w:tc>
        <w:tc>
          <w:tcPr>
            <w:tcW w:w="9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902</w:t>
            </w:r>
          </w:p>
        </w:tc>
      </w:tr>
      <w:tr>
        <w:trPr>
          <w:trHeight w:val="23"/>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amounts)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March 31, 2024</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2260" w:type="dxa"/>
            <w:vAlign w:val="bottom"/>
            <w:gridSpan w:val="3"/>
          </w:tcPr>
          <w:p>
            <w:pPr>
              <w:ind w:left="76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gridSpan w:val="2"/>
            <w:vMerge w:val="restart"/>
          </w:tcPr>
          <w:p>
            <w:pPr>
              <w:ind w:left="12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600" w:type="dxa"/>
            <w:vAlign w:val="bottom"/>
            <w:gridSpan w:val="2"/>
            <w:vMerge w:val="restart"/>
          </w:tcPr>
          <w:p>
            <w:pPr>
              <w:jc w:val="center"/>
              <w:ind w:right="200"/>
              <w:spacing w:after="0" w:line="126"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4"/>
                <w:szCs w:val="4"/>
                <w:color w:val="auto"/>
              </w:rPr>
            </w:pPr>
          </w:p>
        </w:tc>
        <w:tc>
          <w:tcPr>
            <w:tcW w:w="1200" w:type="dxa"/>
            <w:vAlign w:val="bottom"/>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4160" w:type="dxa"/>
            <w:vAlign w:val="bottom"/>
          </w:tcPr>
          <w:p>
            <w:pPr>
              <w:spacing w:after="0"/>
              <w:rPr>
                <w:sz w:val="4"/>
                <w:szCs w:val="4"/>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2023</w:t>
            </w:r>
          </w:p>
        </w:tc>
        <w:tc>
          <w:tcPr>
            <w:tcW w:w="12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9,402</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7"/>
                <w:szCs w:val="17"/>
                <w:color w:val="auto"/>
              </w:rPr>
              <w:t>Balance, March 31, 2024</w:t>
            </w:r>
          </w:p>
        </w:tc>
        <w:tc>
          <w:tcPr>
            <w:tcW w:w="12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color w:val="auto"/>
              </w:rPr>
              <w:t>20,000,000</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12,770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(2,177)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10,595</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1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March 31, 2023</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2260" w:type="dxa"/>
            <w:vAlign w:val="bottom"/>
            <w:gridSpan w:val="3"/>
          </w:tcPr>
          <w:p>
            <w:pPr>
              <w:ind w:left="76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gridSpan w:val="2"/>
            <w:vMerge w:val="restart"/>
          </w:tcPr>
          <w:p>
            <w:pPr>
              <w:ind w:left="12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600" w:type="dxa"/>
            <w:vAlign w:val="bottom"/>
            <w:gridSpan w:val="2"/>
            <w:vMerge w:val="restart"/>
          </w:tcPr>
          <w:p>
            <w:pPr>
              <w:jc w:val="center"/>
              <w:ind w:right="200"/>
              <w:spacing w:after="0" w:line="126"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4"/>
                <w:szCs w:val="4"/>
                <w:color w:val="auto"/>
              </w:rPr>
            </w:pPr>
          </w:p>
        </w:tc>
        <w:tc>
          <w:tcPr>
            <w:tcW w:w="1200" w:type="dxa"/>
            <w:vAlign w:val="bottom"/>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4160" w:type="dxa"/>
            <w:vAlign w:val="bottom"/>
          </w:tcPr>
          <w:p>
            <w:pPr>
              <w:spacing w:after="0"/>
              <w:rPr>
                <w:sz w:val="4"/>
                <w:szCs w:val="4"/>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2022</w:t>
            </w:r>
          </w:p>
        </w:tc>
        <w:tc>
          <w:tcPr>
            <w:tcW w:w="12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20,000,000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10,023</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Arial" w:cs="Arial" w:eastAsia="Arial" w:hAnsi="Arial"/>
                <w:sz w:val="17"/>
                <w:szCs w:val="17"/>
                <w:color w:val="auto"/>
              </w:rPr>
              <w:t>ASC 326 Transition Adjustment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January 1, 2023</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20,000,000</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9,803</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7"/>
                <w:szCs w:val="17"/>
                <w:color w:val="auto"/>
              </w:rPr>
              <w:t>Balance, March 31, 2023</w:t>
            </w:r>
          </w:p>
        </w:tc>
        <w:tc>
          <w:tcPr>
            <w:tcW w:w="12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color w:val="auto"/>
              </w:rPr>
              <w:t>20,000,000</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12,522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10,705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5"/>
          </w:tcPr>
          <w:p>
            <w:pPr>
              <w:jc w:val="right"/>
              <w:ind w:right="39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Net income</w:t>
            </w:r>
          </w:p>
        </w:tc>
        <w:tc>
          <w:tcPr>
            <w:tcW w:w="920" w:type="dxa"/>
            <w:vAlign w:val="bottom"/>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1,378</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814</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Gain on disposal of fixed assets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Provision for credit losses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Change in fair value of contingent consideration</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Changes in operating assets and liabilities: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receivable</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(3,718)</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Contract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889</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and other current assets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Other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Accrued expenses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(1,248)</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Accrued income taxes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Deferred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2,888</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current liabilities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27"/>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Other long-term liabilities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r>
      <w:tr>
        <w:trPr>
          <w:trHeight w:val="225"/>
        </w:trPr>
        <w:tc>
          <w:tcPr>
            <w:tcW w:w="81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Net cash (used in) provided by operating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w:t>
            </w:r>
          </w:p>
        </w:tc>
      </w:tr>
      <w:tr>
        <w:trPr>
          <w:trHeight w:val="207"/>
        </w:trPr>
        <w:tc>
          <w:tcPr>
            <w:tcW w:w="81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Purchases of property and equipment</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21"/>
        </w:trPr>
        <w:tc>
          <w:tcPr>
            <w:tcW w:w="814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Net cash used in investing activities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Proceeds from loan facility</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Contingent consideration</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Deferred transaction costs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1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Net cash provided by (used in)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r>
      <w:tr>
        <w:trPr>
          <w:trHeight w:val="22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fluctuations on cash</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beginning of period</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5,478</w:t>
            </w:r>
          </w:p>
        </w:tc>
      </w:tr>
      <w:tr>
        <w:trPr>
          <w:trHeight w:val="22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end of period</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8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Silvaco Group, Inc. (“Silvaco,” and together with its subsidiaries, the “Company”)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2024, the Company completed its initial public offering (“IPO”), in which it issued and sold 6,000,000 shares of its common stock at the public offering price of $19.00 per share. The Company received gross proceeds of $114.0 million, with $106.0 million funded to the Company after deducting underwriting discounts and commissions. See </w:t>
      </w:r>
      <w:r>
        <w:rPr>
          <w:rFonts w:ascii="Arial" w:cs="Arial" w:eastAsia="Arial" w:hAnsi="Arial"/>
          <w:sz w:val="17"/>
          <w:szCs w:val="17"/>
          <w:u w:val="single" w:color="auto"/>
          <w:color w:val="0000FF"/>
        </w:rPr>
        <w:t>Note 13</w:t>
      </w:r>
      <w:r>
        <w:rPr>
          <w:rFonts w:ascii="Arial" w:cs="Arial" w:eastAsia="Arial" w:hAnsi="Arial"/>
          <w:sz w:val="17"/>
          <w:szCs w:val="17"/>
          <w:color w:val="auto"/>
        </w:rPr>
        <w:t>, Subsequent Events, for further discussion.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and Reporting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and South America. All intercompany transactions and balances have been eliminated upon consolidation.</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its audited consolidated financial statements for the year ended December 31, 2023 and the related notes thereto included in the Company’s final prospectus relating to the initial public offering, dated May 8, 2024 (the “Prospectus”), relating to the Registration Statement on Form S-1 (File No. 333-278666), as amended (“Registration Statement”), filed with the SEC on May 10, 2024, pursuant to Rule 424(b)(4) under the Securities Act of 1933, as amended (“Securities Act”). The December 31, 2023 condensed consolidated balance sheet was derived from the audited consolidated financial statements as of that date. In management’s opinion, the unaudited condensed consolidated financial statements have been prepared on the same basis as the annual financial statements and reflect all adjustments, which include only normal recurring adjustments necessary for the fair statement of the condensed consolidated financial statements.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results of operations for the three months ended March 31, 2024 are not necessarily indicative of the Company’s operating results to be expected for the full fiscal year or any other future interim or annual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Revision of Prior Financial Statements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three months ended March 31, 2023, accrued expenses and general and administrative expenses were understated by $0.2 million in the Company’s condensed consolidated balance sheet and condensed consolidated statement of income, respectively, due to certain accruals for professional services rendered not being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has determined that such errors are immaterial and has increased accrued expenses and other current liabilities and general and administrative expenses to correct these immaterial errors.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will remain an emerging growth company until the earliest of (i) the last day of the first fiscal year (a) following the fifth anniversary of the completion of the Company’s initial public offering (“IPO”), (b) in which the Company’s total annual gross revenue is at least $1.2 billion, or (c) when the Company is deemed to be a large accelerated filer, which means the market value of our common stock that is held by non-affiliates exceeds $700.0 million as of the prior June 30th and (ii) the date on which the Company has issued more than $1.0 billion in non-convertible debt securities during the prior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Other estimates include, but are not limited to, accounts receivable allowances, stock-based compensation, valuation of goodwill and other intangible assets, contingent consideration, uncertain tax positions and income taxes. Actual results could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29, 2024, the Company effected a 1-for-2 reverse split of its common stock. Upon the effectiveness of the reverse stock split, (i) every two shares of outstanding common stock was combined into a single share of common stock, (ii) the number of shares of common stock to be granted upon the vesting of each outstanding restricted stock unit (“RSU”) was proportionally decreased on a 2-for-1 basis, and (iii) the fair value of each outstanding RSU was proportionately increased on a 1-for-2 basis. All of the outstanding common stock share numbers, RSUs, RSU fair values and per share amounts have been adjusted, on a retroactive basis, to reflect this 1-for-2 reverse stock split for all periods presented. The par value per share and authorized number of shares of common stock were not adjusted as a result of the reverse stock split.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March 31, 2024, none of the Company’s customers represented more than 10% of the Company’s accounts receivable. As of December 31, 2023, two customers represented 20% and 15% of the Company’s accounts receivable.</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three months ended March 31, 2024 one customer represented 11% of the Company’s total revenue. None of the Company’s customers represented more than 10% of the Company’s total revenue for the three months ended March 31, 2023.</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the concentration of credit risk with respect to trade receivables, the Company's cash on deposit with financial institutions is also exposed to concentration risk. The Company's cash on deposit with financial institutions are insured through various public and private bank deposit insurance programs, foreign and domestic; however, a significant portion of cash balances held as of March 31, 2024 and December 31, 2023 exceeded insured limits.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March 31, 2024, $3.0 million, or 52%, of the Company’s cash was maintained with one financial institution, where the Company’s current deposits are in excess of federally insured limits. Past macroeconomic conditions have resulted in the actual or perceived financial distress of many financial institutions, including the failures of Silicon Valley Bank, Signature Bank, First Republic Bank and the UBS takeover of Credit Suisse. If the financial institutions with whom the Company does business were to be placed into receivership, the Company may be unable to access the cash it has on deposit with such institutions. If the Company is unable to access its cash as needed, the Company’s financial position and ability to operate its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assesses its ability to collect outstanding receivables and contract assets and provides customer-specific allowances, allowances for credit losses for the portion of receivables and contract assets that are estimated to be uncollectible. Allowances for credit losses are based on historical collection experience and expected credit losses, customer specific financial condition, current economic trends in the customer's industry and geographic region, changes in customer demand and the overall economic climate in the market the Company serves. Provisions for the allowance for expected credit losses attributable to bad debt are recorded as general and administrative expenses. Account balances deemed uncollectible are written off, net of actual recoveries. If circumstances related to specific customers or the market the Company serves change, the Company’s estimate of the recoverability of its accounts receivable and contract assets could be further adjusted. The Company does not have any material account receivable or contract asset balances that are past due and has not written off any significant balances in its portfolio against the allowance for credit losses for the periods presented. The Company’s provision for credit losses was $0.2 million and $21,000 for the three months ended March 31, 2024 and 2023, respectively. The Company’s allowance for expected credit losses on accounts receivable and contract assets, in the aggregate, was $0.8 million and $0.5 million as of March 31, 2024 and December 31, 2023,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For the three months ended March 31, 2024 and 2023, the Company recorded foreign currency translation adjustments of $(0.2) million and $0.1 million, respectively, within accumulated other comprehensive loss.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The Company recorded net foreign exchange transaction losses of $0.1 million and $0.2 million for the three months ended March 31, 2024 and 2023,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loss is composed entirely of foreign currency translation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Basic EPS is computed based on the weighted average number of shares of common stock outstanding. Diluted EPS is computed based on the weighted average number of common shares outstanding increased by dilutive common stock equivalents, attributable to RSU grants.</w:t>
      </w:r>
    </w:p>
    <w:p>
      <w:pPr>
        <w:spacing w:after="0" w:line="118"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 xml:space="preserve">The following outstanding securities for the three months ended March 31, 2024 and 2023 were excluded from the computation of diluted earnings per share because the issuance of such shares is contingent upon the satisfaction of certain conditions which were not satisfied as of March 31, 2024. See </w:t>
      </w:r>
      <w:r>
        <w:rPr>
          <w:rFonts w:ascii="Arial" w:cs="Arial" w:eastAsia="Arial" w:hAnsi="Arial"/>
          <w:sz w:val="17"/>
          <w:szCs w:val="17"/>
          <w:u w:val="single" w:color="auto"/>
          <w:color w:val="0000FF"/>
        </w:rPr>
        <w:t>Note 8</w:t>
      </w:r>
      <w:r>
        <w:rPr>
          <w:rFonts w:ascii="Arial" w:cs="Arial" w:eastAsia="Arial" w:hAnsi="Arial"/>
          <w:sz w:val="17"/>
          <w:szCs w:val="17"/>
          <w:color w:val="auto"/>
        </w:rPr>
        <w:t>, Restricted Stock Units for additional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Borders>
              <w:top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top w:val="single" w:sz="8" w:color="auto"/>
              <w:bottom w:val="single" w:sz="8" w:color="auto"/>
            </w:tcBorders>
          </w:tcPr>
          <w:p>
            <w:pPr>
              <w:spacing w:after="0"/>
              <w:rPr>
                <w:sz w:val="18"/>
                <w:szCs w:val="18"/>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 Grants</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4,302,178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3,047,234</w:t>
            </w:r>
          </w:p>
        </w:tc>
      </w:tr>
      <w:tr>
        <w:trPr>
          <w:trHeight w:val="95"/>
        </w:trPr>
        <w:tc>
          <w:tcPr>
            <w:tcW w:w="8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Accounting for Convertible Instruments and Contracts in an Entity’s Own Equity. This ASU simplifies accounting for convertible instruments by removing major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models required under current GAAP. The Company adopted this standard on January 1, 2024 and the adoption did not impact the condensed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guidance issued and not yet adopted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November 2023, the FASB issued Accounting Standards Update ASU 2023-07, </w:t>
      </w:r>
      <w:r>
        <w:rPr>
          <w:rFonts w:ascii="Arial" w:cs="Arial" w:eastAsia="Arial" w:hAnsi="Arial"/>
          <w:sz w:val="17"/>
          <w:szCs w:val="17"/>
          <w:i w:val="1"/>
          <w:iCs w:val="1"/>
          <w:color w:val="auto"/>
        </w:rPr>
        <w:t>Segment Reporting (Topic 280)</w:t>
      </w:r>
      <w:r>
        <w:rPr>
          <w:rFonts w:ascii="Arial" w:cs="Arial" w:eastAsia="Arial" w:hAnsi="Arial"/>
          <w:sz w:val="17"/>
          <w:szCs w:val="17"/>
          <w:color w:val="auto"/>
        </w:rPr>
        <w:t>: Improvements to Reportable Segment Disclosures, which requires disclosure of incremental segment information on an interim and annual basis. This ASU is effective for fiscal years beginning after December 15, 2023, and interim periods within fiscal periods beginning after December 15, 2024, and requires retrospective application to all prior periods presented in the financial statements. The Company is currently evaluating the impact of the guidance on the condensed consolidated financial statements and related disclosures.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Income Taxes (Topic 740)</w:t>
      </w:r>
      <w:r>
        <w:rPr>
          <w:rFonts w:ascii="Arial" w:cs="Arial" w:eastAsia="Arial" w:hAnsi="Arial"/>
          <w:sz w:val="17"/>
          <w:szCs w:val="17"/>
          <w:color w:val="auto"/>
        </w:rPr>
        <w:t>: Improvement to Income Tax Disclosures to enhance the transparency and decision usefulness of income tax disclosures. ASU 2023-09 is effective for annual periods beginning after December 15, 2024 on a prospective basis. Early adoption is permitted. The Company is currently evaluating the impact of this accounting standard update on the condensed consolidated financial statements and related disclosures.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Revenue related to stand-alone software applications are generally recognized upon shipment and delivery of license keys. For certain arrangements revenue is recognized based on usage or ratably over the term of the arrangement. Maintenance and service revenue consists of both maintenance revenues and professional services revenues which is recognized based on usage or ratably over the term of the arrangement. Timing of revenue recognition may differ from the timing of invoicing to customers. The Company records a contract asset when revenue is recognized prior to invoicing, an accounts receivable upon invoicing or deferred revenue when invoicing precedes revenue recognition.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contracts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For multi-year software licenses, the Company generally invoices customers annually at the beginning of each annual coverage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March 31, 2024, approximately $29.1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49% of these remaining performance obligations over the next 12 months, with the balance recognized thereafter.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Deferred revenue is comprised mainly of unearned revenue related to maintenance and service on software licenses and pending software license deliveries. Maintenance and service revenue is recognized ratably over the coverage period. Software license revenue is recognized upfront upon delivery of the licensed software. Deferred revenue also includes contracts for professional services to be performed in the future which are recognized as revenue when the company delivers the related service pursuant to the terms of the customer arrangement.</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During the three months ended March 31, 2024, the Company recognized revenue of $2.3 million that was included in the total deferred revenue balance at December 31, 2023. All other activity in deferred revenue is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timing of invoices in relation to the timing of revenue during the three months ending March 31, 2024 as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headquarters are located in Santa Clara, California, where the Company has an operating lease covering its corporate office expiring in March of 2025. The Company also has operating leases in Duluth, Georgia, and abroad, in Japan, France, China, the United Kingdom, Taiwan, Singapore, and Korea, among other countries. The expiration dates for these operating leases range from 2024 through 2029. As of March 31, 2024 and December 31, 2023, the Company’s operating lease right-of-use assets and operating lease liabilities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193"/>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4"/>
          </w:tcPr>
          <w:p>
            <w:pPr>
              <w:jc w:val="center"/>
              <w:ind w:right="179"/>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 net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2,157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w:t>
            </w:r>
          </w:p>
        </w:tc>
      </w:tr>
      <w:tr>
        <w:trPr>
          <w:trHeight w:val="227"/>
        </w:trPr>
        <w:tc>
          <w:tcPr>
            <w:tcW w:w="8100" w:type="dxa"/>
            <w:vAlign w:val="bottom"/>
          </w:tcPr>
          <w:p>
            <w:pPr>
              <w:ind w:left="20"/>
              <w:spacing w:after="0"/>
              <w:rPr>
                <w:sz w:val="20"/>
                <w:szCs w:val="20"/>
                <w:color w:val="auto"/>
              </w:rPr>
            </w:pPr>
            <w:r>
              <w:rPr>
                <w:rFonts w:ascii="Arial" w:cs="Arial" w:eastAsia="Arial" w:hAnsi="Arial"/>
                <w:sz w:val="17"/>
                <w:szCs w:val="17"/>
                <w:color w:val="auto"/>
              </w:rPr>
              <w:t>Operating lease liabilities, current</w:t>
            </w:r>
          </w:p>
        </w:tc>
        <w:tc>
          <w:tcPr>
            <w:tcW w:w="26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735</w:t>
            </w: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1,320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r>
      <w:tr>
        <w:trPr>
          <w:trHeight w:val="473"/>
        </w:trPr>
        <w:tc>
          <w:tcPr>
            <w:tcW w:w="8100" w:type="dxa"/>
            <w:vAlign w:val="bottom"/>
          </w:tcPr>
          <w:p>
            <w:pPr>
              <w:spacing w:after="0"/>
              <w:rPr>
                <w:sz w:val="20"/>
                <w:szCs w:val="20"/>
                <w:color w:val="auto"/>
              </w:rPr>
            </w:pPr>
            <w:r>
              <w:rPr>
                <w:rFonts w:ascii="Arial" w:cs="Arial" w:eastAsia="Arial" w:hAnsi="Arial"/>
                <w:sz w:val="17"/>
                <w:szCs w:val="17"/>
                <w:color w:val="auto"/>
              </w:rPr>
              <w:t>The components of operating lease cost during the periods presented were as follows: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8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spacing w:after="0"/>
              <w:rPr>
                <w:sz w:val="16"/>
                <w:szCs w:val="16"/>
                <w:color w:val="auto"/>
              </w:rPr>
            </w:pPr>
          </w:p>
        </w:tc>
      </w:tr>
      <w:tr>
        <w:trPr>
          <w:trHeight w:val="195"/>
        </w:trPr>
        <w:tc>
          <w:tcPr>
            <w:tcW w:w="8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193"/>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4"/>
          </w:tcPr>
          <w:p>
            <w:pPr>
              <w:jc w:val="center"/>
              <w:ind w:right="179"/>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29"/>
        </w:trPr>
        <w:tc>
          <w:tcPr>
            <w:tcW w:w="8100" w:type="dxa"/>
            <w:vAlign w:val="bottom"/>
            <w:tcBorders>
              <w:bottom w:val="single" w:sz="8" w:color="CCEEFF"/>
            </w:tcBorders>
          </w:tcPr>
          <w:p>
            <w:pPr>
              <w:ind w:left="20"/>
              <w:spacing w:after="0" w:line="229" w:lineRule="exact"/>
              <w:rPr>
                <w:sz w:val="20"/>
                <w:szCs w:val="20"/>
                <w:color w:val="auto"/>
              </w:rPr>
            </w:pPr>
            <w:r>
              <w:rPr>
                <w:rFonts w:ascii="Arial" w:cs="Arial" w:eastAsia="Arial" w:hAnsi="Arial"/>
                <w:sz w:val="17"/>
                <w:szCs w:val="17"/>
                <w:color w:val="auto"/>
              </w:rPr>
              <w:t>Variable lease cost</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lease cost</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Variable lease cost includes common area maintenance, utilities, security, insurance and property taxes.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related to the Company’s operating leases for the three months ended March 31, 2024 and 2023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top w:val="single" w:sz="8" w:color="auto"/>
              <w:bottom w:val="single" w:sz="8" w:color="auto"/>
            </w:tcBorders>
          </w:tcPr>
          <w:p>
            <w:pPr>
              <w:spacing w:after="0"/>
              <w:rPr>
                <w:sz w:val="18"/>
                <w:szCs w:val="18"/>
                <w:color w:val="auto"/>
              </w:rPr>
            </w:pPr>
          </w:p>
        </w:tc>
      </w:tr>
      <w:tr>
        <w:trPr>
          <w:trHeight w:val="196"/>
        </w:trPr>
        <w:tc>
          <w:tcPr>
            <w:tcW w:w="78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r>
      <w:tr>
        <w:trPr>
          <w:trHeight w:val="193"/>
        </w:trPr>
        <w:tc>
          <w:tcPr>
            <w:tcW w:w="7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gridSpan w:val="2"/>
          </w:tcPr>
          <w:p>
            <w:pPr>
              <w:jc w:val="right"/>
              <w:ind w:right="559"/>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r>
      <w:tr>
        <w:trPr>
          <w:trHeight w:val="23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operating lease liabilities</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222</w:t>
            </w:r>
          </w:p>
        </w:tc>
        <w:tc>
          <w:tcPr>
            <w:tcW w:w="1100" w:type="dxa"/>
            <w:vAlign w:val="bottom"/>
            <w:shd w:val="clear" w:color="auto" w:fill="CCEEFF"/>
          </w:tcPr>
          <w:p>
            <w:pPr>
              <w:jc w:val="right"/>
              <w:ind w:right="859"/>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256</w:t>
            </w:r>
          </w:p>
        </w:tc>
      </w:tr>
      <w:tr>
        <w:trPr>
          <w:trHeight w:val="227"/>
        </w:trPr>
        <w:tc>
          <w:tcPr>
            <w:tcW w:w="788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1020" w:type="dxa"/>
            <w:vAlign w:val="bottom"/>
          </w:tcPr>
          <w:p>
            <w:pPr>
              <w:jc w:val="right"/>
              <w:ind w:right="821"/>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7"/>
              <w:spacing w:after="0"/>
              <w:rPr>
                <w:sz w:val="20"/>
                <w:szCs w:val="20"/>
                <w:color w:val="auto"/>
              </w:rPr>
            </w:pPr>
            <w:r>
              <w:rPr>
                <w:rFonts w:ascii="Arial" w:cs="Arial" w:eastAsia="Arial" w:hAnsi="Arial"/>
                <w:sz w:val="17"/>
                <w:szCs w:val="17"/>
                <w:color w:val="auto"/>
              </w:rPr>
              <w:t>567</w:t>
            </w:r>
          </w:p>
        </w:tc>
        <w:tc>
          <w:tcPr>
            <w:tcW w:w="1100" w:type="dxa"/>
            <w:vAlign w:val="bottom"/>
          </w:tcPr>
          <w:p>
            <w:pPr>
              <w:jc w:val="right"/>
              <w:ind w:right="859"/>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3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25"/>
        </w:trPr>
        <w:tc>
          <w:tcPr>
            <w:tcW w:w="788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3.83 %</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2024 maturities of operating lease liabilities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49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Year Ending December 31,</w:t>
            </w:r>
          </w:p>
        </w:tc>
        <w:tc>
          <w:tcPr>
            <w:tcW w:w="1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2024</w:t>
            </w: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2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8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2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28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imputed interest</w:t>
            </w: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operating lease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2,137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Current portion of lease liability</w:t>
            </w: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2"/>
            <w:vMerge w:val="continue"/>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Non-current portion of lease liability</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1,320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9740" w:type="dxa"/>
            <w:vAlign w:val="bottom"/>
            <w:gridSpan w:val="11"/>
          </w:tcPr>
          <w:p>
            <w:pPr>
              <w:spacing w:after="0"/>
              <w:rPr>
                <w:sz w:val="20"/>
                <w:szCs w:val="20"/>
                <w:color w:val="auto"/>
              </w:rPr>
            </w:pPr>
            <w:r>
              <w:rPr>
                <w:rFonts w:ascii="Arial" w:cs="Arial" w:eastAsia="Arial" w:hAnsi="Arial"/>
                <w:sz w:val="17"/>
                <w:szCs w:val="17"/>
                <w:color w:val="auto"/>
              </w:rPr>
              <w:t>The Company recorded rent expense of $0.3 million during each of the three months ended March 31, 2024 and 2023.</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5. Goodwill and Intangible Assets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140" w:type="dxa"/>
            <w:vAlign w:val="bottom"/>
            <w:gridSpan w:val="8"/>
          </w:tcPr>
          <w:p>
            <w:pPr>
              <w:spacing w:after="0"/>
              <w:rPr>
                <w:sz w:val="20"/>
                <w:szCs w:val="20"/>
                <w:color w:val="auto"/>
              </w:rPr>
            </w:pPr>
            <w:r>
              <w:rPr>
                <w:rFonts w:ascii="Arial" w:cs="Arial" w:eastAsia="Arial" w:hAnsi="Arial"/>
                <w:sz w:val="17"/>
                <w:szCs w:val="17"/>
                <w:color w:val="auto"/>
              </w:rPr>
              <w:t>There were no changes in goodwill during the three months ended March 31, 2024 and 2023.</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980" w:type="dxa"/>
            <w:vAlign w:val="bottom"/>
            <w:gridSpan w:val="3"/>
          </w:tcPr>
          <w:p>
            <w:pPr>
              <w:spacing w:after="0"/>
              <w:rPr>
                <w:sz w:val="20"/>
                <w:szCs w:val="20"/>
                <w:color w:val="auto"/>
              </w:rPr>
            </w:pPr>
            <w:r>
              <w:rPr>
                <w:rFonts w:ascii="Arial" w:cs="Arial" w:eastAsia="Arial" w:hAnsi="Arial"/>
                <w:sz w:val="17"/>
                <w:szCs w:val="17"/>
                <w:color w:val="auto"/>
              </w:rPr>
              <w:t>As of March 31, 2024 intangible assets were classified as follows: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58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1"/>
                <w:szCs w:val="11"/>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Amortization Period</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gridSpan w:val="2"/>
            <w:vMerge w:val="continue"/>
          </w:tcPr>
          <w:p>
            <w:pPr>
              <w:spacing w:after="0"/>
              <w:rPr>
                <w:sz w:val="16"/>
                <w:szCs w:val="16"/>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years)</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7"/>
                <w:szCs w:val="17"/>
                <w:color w:val="auto"/>
              </w:rPr>
              <w:t>Customer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7"/>
                <w:szCs w:val="17"/>
                <w:b w:val="1"/>
                <w:bCs w:val="1"/>
                <w:color w:val="auto"/>
              </w:rPr>
              <w:t>Total intangible assets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5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1"/>
                <w:szCs w:val="11"/>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Amortization Period</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gridSpan w:val="2"/>
            <w:vMerge w:val="continue"/>
          </w:tcPr>
          <w:p>
            <w:pPr>
              <w:spacing w:after="0"/>
              <w:rPr>
                <w:sz w:val="16"/>
                <w:szCs w:val="16"/>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years)</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7"/>
                <w:szCs w:val="17"/>
                <w:color w:val="auto"/>
              </w:rPr>
              <w:t>Customer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7"/>
                <w:szCs w:val="17"/>
                <w:b w:val="1"/>
                <w:bCs w:val="1"/>
                <w:color w:val="auto"/>
              </w:rPr>
              <w:t>Total intangible assets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5,255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$0.1 million during each of the three months ended March 31, 2024 and 2023.</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January 1, 2024, the Company removed the carrying value of $4.3 million of fully amortized intangible assets which at time of removal had nil net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2024, estimated future amortization expense for the intangible assets reflected above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04"/>
        </w:trPr>
        <w:tc>
          <w:tcPr>
            <w:tcW w:w="9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Amount</w:t>
            </w:r>
          </w:p>
        </w:tc>
      </w:tr>
      <w:tr>
        <w:trPr>
          <w:trHeight w:val="193"/>
        </w:trPr>
        <w:tc>
          <w:tcPr>
            <w:tcW w:w="9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20"/>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2024</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2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2025</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net carrying value of intangible assets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9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Parties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a commercial lease agreement with Kipee International, Inc., a related party controlled by Katherine Ngai-Pesic, who is the Company's founding principal stockholder and chairperson of the Board of Directors, for Silvaco's corporate office in Santa Clara, California. In connection with this lease arrangement, the Company recorded rent expense of $0.1 million during each of the three months ended March 31, 2023 and 2024, respectively. The Company's right-of-use asset and operating lease liability under this three year arrangement, which commenced on May 1, 2022 and expires on March 31, 2025, is $0.2 million as of March 31, 2024.</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has two international office leases with New Horizons (Cambridge) LTD (“NHC”) and New Horizons France (“NHF”) in Cambridgeshire, England and Grenoble, France, respectively. NHC and NHF are real estate entities owned and controlled by Ms. Ngai-Pesic. In connection with these lease arrangements, the Company recorded rent expense of $0.1 million during each of the three months ended March 31, 2024 and 2023. The Company's right-of-use asset and operating lease liability under the NHC lease, which expires on December 31, 2029, is $1.0 million as of March 31, 2024. The Company's right-of-use asset and operating lease liability under the NHF lease, which expires on April 30, 2026, is $0.1 million as of March 31, 2024.</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On June 13, 2022, Silvaco entered into a $4.0 million line of credit with Ms. Ngai-Pesic (the “2022 Credit Line”). In connection with this line of credit, the Company recorded interest expense of $0.1 million and $44,000 during the three months ended March 31, 2024 and 2023, respectively. As of March 31, 2024, the principal balance of this line of credit was $2.0 million.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Debt, and </w:t>
      </w:r>
      <w:r>
        <w:rPr>
          <w:rFonts w:ascii="Arial" w:cs="Arial" w:eastAsia="Arial" w:hAnsi="Arial"/>
          <w:sz w:val="17"/>
          <w:szCs w:val="17"/>
          <w:u w:val="single" w:color="auto"/>
          <w:color w:val="0000FF"/>
        </w:rPr>
        <w:t>Note 13</w:t>
      </w:r>
      <w:r>
        <w:rPr>
          <w:rFonts w:ascii="Arial" w:cs="Arial" w:eastAsia="Arial" w:hAnsi="Arial"/>
          <w:sz w:val="17"/>
          <w:szCs w:val="17"/>
          <w:color w:val="auto"/>
        </w:rPr>
        <w:t>, Subsequent Events, for further discussion.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February of 2012, Gu-Guide LP, a real estate entity controlled by Ms. Ngai-Pesic, Bank of the West and Silvaco Group, Inc., as guarantor, entered into a loan agreement pursuant to which Bank of the West agreed to lend Gu-Guide LP certain amounts of money (the “Loan”). The Loan is secured by a building representing a total of 9,000 square feet located at 4701 Patrick Henry Drive, Santa Clara, California 95054. In the event that the proceeds from the foreclosure of the foregoing collateral are insufficient to repay the outstanding amounts under the Loan, Silvaco Group Inc. has guaranteed the repayment of the outstanding amounts under the Loan. As of March 31, 2024, $0.8 million is outstanding under the Loan which matures on August 1, 2024.</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member of the Company’s board of directors also serves as chairman of the board for one of Silvaco’s customers. During the three months ended March 31, 2024, the Company recorded $0.5 million in software revenue from this customer. As of March 31, 2024, the balance of the Company’s accounts receivable and contract assets with this customer was $0.2 million and $0.3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73"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 xml:space="preserve">On June 13, 2022, Silvaco entered into the 2022 Credit Line which bears interest at a rate of prime plus 1% per annum. As of March 31, 2024 and December 31, 2023, the principal balance of the 2022 Credit Line was $2.0 million. Subsequent to the Company’s IPO on May 13, 2024, the 2022 Credit Line was repaid in full and is set to expire on June 13, 2024. See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for further discussion.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December 2023, the Company entered into a loan facility with East West Bank (the “East West Bank Loan”) which has a maturity date of December 14, 2025 and provides for borrowings of up to $5.0 million bearing interest at a per annum rate equal to one half of one percent (0.5%) above the greater of (i) the prime rate or (ii) four and one half percent (4.5%). The Company drew $4.3 million on the East West Bank Loan during the three months ended March 31, 2024. The balance on the East West Bank Loan as of March 31, 2024 was $4.3 million, and the Company was in compliance with all covenants. During the three months ended March 31, 2024,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recorded interest expense of $0.1 million on the East West Bank Loan. Subsequent to the Company’s IPO, on May 13, 2024, the East West Bank Loan was repaid in full and terminated. See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Restricted Stock Units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March 18, 2024, the number of shares of common stock reserved for issuance of RSU under the Company’s 2014 Stock Incentive Plan (the “2014 Plan”) was increased to 4.6 million and the term of the 2014 Plan was extended to March 18, 2034. The RSUs generally have two vesting requirements, a time and service-based requirement (the “Time-Based Requirement”) and a liquidity event requirement (the “Liquidity Event Requirement”). The Liquidity Event Requirement will be satisfied as to any then-outstanding RSUs on the first to occur of: (1) a change in control event (as defined in the award agreement) or (2) the first sale of common stock pursuant to an underwritten IPO, in either case, within 10 years of the grant date.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Requirement satisfied on the grant date.</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April 26, 2024, in connection with the Company’s IPO, our board of directors approved and adopted, subject to stockholder approval, the 2024 Stock Incentive Plan (“2024 Plan”), and our stockholders approved the 2024 Plan on April 29, 2024. The 2024 Plan became effective on May 8, 2024 and supersedes our 2014 Plan.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RSU activity for the three months ended March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3"/>
          </w:tcPr>
          <w:p>
            <w:pPr>
              <w:jc w:val="right"/>
              <w:ind w:right="778"/>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Restricted Stock Units</w:t>
            </w:r>
          </w:p>
        </w:tc>
        <w:tc>
          <w:tcPr>
            <w:tcW w:w="14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Grant Date Fair</w:t>
            </w:r>
          </w:p>
        </w:tc>
        <w:tc>
          <w:tcPr>
            <w:tcW w:w="15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Remaining Contract</w:t>
            </w:r>
          </w:p>
        </w:tc>
        <w:tc>
          <w:tcPr>
            <w:tcW w:w="13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Granted</w:t>
            </w:r>
          </w:p>
        </w:tc>
        <w:tc>
          <w:tcPr>
            <w:tcW w:w="100" w:type="dxa"/>
            <w:vAlign w:val="bottom"/>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Time Vested</w:t>
            </w:r>
          </w:p>
        </w:tc>
        <w:tc>
          <w:tcPr>
            <w:tcW w:w="14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Time Non-Vested</w:t>
            </w: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Term (in years)</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6.56</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3,398,276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2,060,651</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1,337,625</w:t>
            </w:r>
          </w:p>
        </w:tc>
        <w:tc>
          <w:tcPr>
            <w:tcW w:w="0" w:type="dxa"/>
            <w:vAlign w:val="bottom"/>
          </w:tcPr>
          <w:p>
            <w:pPr>
              <w:spacing w:after="0"/>
              <w:rPr>
                <w:sz w:val="1"/>
                <w:szCs w:val="1"/>
                <w:color w:val="auto"/>
              </w:rPr>
            </w:pPr>
          </w:p>
        </w:tc>
      </w:tr>
      <w:tr>
        <w:trPr>
          <w:trHeight w:val="227"/>
        </w:trPr>
        <w:tc>
          <w:tcPr>
            <w:tcW w:w="3840" w:type="dxa"/>
            <w:vAlign w:val="bottom"/>
          </w:tcPr>
          <w:p>
            <w:pPr>
              <w:ind w:left="240"/>
              <w:spacing w:after="0"/>
              <w:rPr>
                <w:sz w:val="20"/>
                <w:szCs w:val="20"/>
                <w:color w:val="auto"/>
              </w:rPr>
            </w:pPr>
            <w:r>
              <w:rPr>
                <w:rFonts w:ascii="Arial" w:cs="Arial" w:eastAsia="Arial" w:hAnsi="Arial"/>
                <w:sz w:val="17"/>
                <w:szCs w:val="17"/>
                <w:color w:val="auto"/>
              </w:rPr>
              <w:t>Granted</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15.65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9.87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957,525</w:t>
            </w: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957,525</w:t>
            </w:r>
          </w:p>
        </w:tc>
        <w:tc>
          <w:tcPr>
            <w:tcW w:w="0" w:type="dxa"/>
            <w:vAlign w:val="bottom"/>
          </w:tcPr>
          <w:p>
            <w:pPr>
              <w:spacing w:after="0"/>
              <w:rPr>
                <w:sz w:val="1"/>
                <w:szCs w:val="1"/>
                <w:color w:val="auto"/>
              </w:rPr>
            </w:pPr>
          </w:p>
        </w:tc>
      </w:tr>
      <w:tr>
        <w:trPr>
          <w:trHeight w:val="232"/>
        </w:trPr>
        <w:tc>
          <w:tcPr>
            <w:tcW w:w="3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Vested</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94,474</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(94,474)</w:t>
            </w:r>
          </w:p>
        </w:tc>
        <w:tc>
          <w:tcPr>
            <w:tcW w:w="0" w:type="dxa"/>
            <w:vAlign w:val="bottom"/>
          </w:tcPr>
          <w:p>
            <w:pPr>
              <w:spacing w:after="0"/>
              <w:rPr>
                <w:sz w:val="1"/>
                <w:szCs w:val="1"/>
                <w:color w:val="auto"/>
              </w:rPr>
            </w:pPr>
          </w:p>
        </w:tc>
      </w:tr>
      <w:tr>
        <w:trPr>
          <w:trHeight w:val="227"/>
        </w:trPr>
        <w:tc>
          <w:tcPr>
            <w:tcW w:w="3840" w:type="dxa"/>
            <w:vAlign w:val="bottom"/>
          </w:tcPr>
          <w:p>
            <w:pPr>
              <w:ind w:left="240"/>
              <w:spacing w:after="0"/>
              <w:rPr>
                <w:sz w:val="20"/>
                <w:szCs w:val="20"/>
                <w:color w:val="auto"/>
              </w:rPr>
            </w:pPr>
            <w:r>
              <w:rPr>
                <w:rFonts w:ascii="Arial" w:cs="Arial" w:eastAsia="Arial" w:hAnsi="Arial"/>
                <w:sz w:val="17"/>
                <w:szCs w:val="17"/>
                <w:color w:val="auto"/>
              </w:rPr>
              <w:t>Forfeited / canceled</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(53,623)</w:t>
            </w: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(53,623)</w:t>
            </w:r>
          </w:p>
        </w:tc>
        <w:tc>
          <w:tcPr>
            <w:tcW w:w="0" w:type="dxa"/>
            <w:vAlign w:val="bottom"/>
          </w:tcPr>
          <w:p>
            <w:pPr>
              <w:spacing w:after="0"/>
              <w:rPr>
                <w:sz w:val="1"/>
                <w:szCs w:val="1"/>
                <w:color w:val="auto"/>
              </w:rPr>
            </w:pPr>
          </w:p>
        </w:tc>
      </w:tr>
      <w:tr>
        <w:trPr>
          <w:trHeight w:val="290"/>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March 31, 2024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4,302,178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2,155,125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2,147,053</w:t>
            </w:r>
          </w:p>
        </w:tc>
        <w:tc>
          <w:tcPr>
            <w:tcW w:w="0" w:type="dxa"/>
            <w:vAlign w:val="bottom"/>
          </w:tcPr>
          <w:p>
            <w:pPr>
              <w:spacing w:after="0"/>
              <w:rPr>
                <w:sz w:val="1"/>
                <w:szCs w:val="1"/>
                <w:color w:val="auto"/>
              </w:rPr>
            </w:pPr>
          </w:p>
        </w:tc>
      </w:tr>
      <w:tr>
        <w:trPr>
          <w:trHeight w:val="41"/>
        </w:trPr>
        <w:tc>
          <w:tcPr>
            <w:tcW w:w="3840" w:type="dxa"/>
            <w:vAlign w:val="bottom"/>
            <w:tcBorders>
              <w:top w:val="single" w:sz="8" w:color="CCEEFF"/>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three months ended March 31, 2024, the grant date fair value of the RSU awards was derived from an interpolation based on the contemplated listing price of the Company’s anticipated IPO.</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Historically the Company has not recorded stock-based compensation expense for the RSUs, due to the Liquidity Event Requirement not being probable. The Company has valued the unrecorded stock-based compensation expense, using historical estimates of the fair value of the Company's common stock. Should the Liquidity Event Requirement (“Liquidity Event”) become probable, the Company would incur stock-based compensation expense associated with (i) active employees and service providers who have fulfilled or are in the process of fulfilling the Time Based Requirement, (ii) certain former employees and service providers whose RSUs become vested in connection with the Liquidity Event, and (iii) the acceleration of the Time Based Requirement for certain awards to executive officers, senior management and directors as a result of Liquidity Event.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March 31, 2024, the Company had 4,302,178 outstanding RSUs. The total grant date fair value of such outstanding RSUs in unrecognized stock-based compensation expense is $39.1 million. The 2,155,125 RSUs which have contractually met the Time-Based Requirement as of March 31, 2024, have a grant date fair value of $12.8 million. The remaining 2,147,053 RSUs which have not met the Time-Based Requirement as of March 31, 2024, have a grant date fair value of $26.3 million.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On May 13, 2024, the Liquidity Event Requirement was satisfied with the completion of the Company’s IPO. See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for further discussion.</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result, effective with the Company’s IPO, the Company will record cumulative stock-based compensation expense for the service period through such date using the straight-line attribution method, net of actual forfeitures, based on the grant-date fair value of the RSU awards. Had the IPO and Liquidity Event been completed on March 31, 2024, the Time Based Requirement would be accelerated in accordance with their terms for an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228,043 RSUs, and the Company would have recognized cumulative combined stock-based compensation expense of $16.5 million for active and former employees and service providers as of March 31, 2024.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provision for income taxes consists principally of state and local, and foreign taxes, as applicable, in amounts necessary to align the Company’s year-to-date tax provision with the effective rate that it expects to achieve for the full year.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2024 and 2023 the Company recorded an income tax provision of $0.8 million and $0.4 million,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effective tax rate for the three months ended March 31, 2024 and 2023 was 37% and 32%, respectively.</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determines its income tax provision for interim periods using an estimate of its annual effective tax rate adjusted for discrete items occurring during the periods presented. The difference between its effective tax rate and the federal statutory rate is primarily attributable to state income taxes, foreign income taxes, the effect of certain permanent differences, and a full valuation allowance against net deferred tax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Management establishes a valuation allowance for those deductible temporary differences when it is more likely than not that the benefit of such deferred tax assets will not be recognized. The ultimate realization of deferred tax assets is dependent upon the Company's ability to generate taxable income during periods in which the temporary differences become deductible. Management regularly reviews the deferred tax assets for recoverability and establishes a valuation allowance based on historical taxable income, projected future taxable income, and the expected timing of the reversals of existing temporary differences. Through the quarter ended March 31, 2024, management believes that it is more likely than not that the deferred tax assets will not be realized, such that a full valuation allowance has been recorded.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files income tax returns in the U.S. federal jurisdiction, various state jurisdictions and certain foreign jurisdictions. The Company is not currently under audit by the Internal Revenue Service or other similar state, local, and foreign authorities. All tax years remain open to examination by major taxing jurisdictions to which the Company is subject for a period of three years for federal and four years for states, after the utilization of net operating losses and credits.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 and Geographical Concentration</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who is the Company’s Chief Executive Officer, reviews financial information presented on a consolidated basis for the purpose of allocating resources and evaluating financial performance. As such, the Company’s operations constitute a single operating segment and one reportable segment.</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Revenue is attributed to geography based upon the country in which the software license is used, or maintenance and services are delivered. The Company's single reportable segment recorded customer revenue from the following geographical areas for the three months ended March 31,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top w:val="single" w:sz="8" w:color="auto"/>
              <w:bottom w:val="single" w:sz="8" w:color="auto"/>
            </w:tcBorders>
          </w:tcPr>
          <w:p>
            <w:pPr>
              <w:spacing w:after="0"/>
              <w:rPr>
                <w:sz w:val="18"/>
                <w:szCs w:val="18"/>
                <w:color w:val="auto"/>
              </w:rPr>
            </w:pPr>
          </w:p>
        </w:tc>
      </w:tr>
      <w:tr>
        <w:trPr>
          <w:trHeight w:val="197"/>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Region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r>
      <w:tr>
        <w:trPr>
          <w:trHeight w:val="193"/>
        </w:trPr>
        <w:tc>
          <w:tcPr>
            <w:tcW w:w="7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35"/>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16"/>
                <w:szCs w:val="16"/>
                <w:color w:val="auto"/>
              </w:rPr>
            </w:pPr>
          </w:p>
        </w:tc>
      </w:tr>
      <w:tr>
        <w:trPr>
          <w:trHeight w:val="23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Japan</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w:t>
            </w:r>
          </w:p>
        </w:tc>
      </w:tr>
      <w:tr>
        <w:trPr>
          <w:trHeight w:val="227"/>
        </w:trPr>
        <w:tc>
          <w:tcPr>
            <w:tcW w:w="788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4,062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4,865</w:t>
            </w:r>
          </w:p>
        </w:tc>
      </w:tr>
      <w:tr>
        <w:trPr>
          <w:trHeight w:val="23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r>
      <w:tr>
        <w:trPr>
          <w:trHeight w:val="227"/>
        </w:trPr>
        <w:tc>
          <w:tcPr>
            <w:tcW w:w="7880" w:type="dxa"/>
            <w:vAlign w:val="bottom"/>
          </w:tcPr>
          <w:p>
            <w:pPr>
              <w:ind w:left="20"/>
              <w:spacing w:after="0"/>
              <w:rPr>
                <w:sz w:val="20"/>
                <w:szCs w:val="20"/>
                <w:color w:val="auto"/>
              </w:rPr>
            </w:pPr>
            <w:r>
              <w:rPr>
                <w:rFonts w:ascii="Arial" w:cs="Arial" w:eastAsia="Arial" w:hAnsi="Arial"/>
                <w:sz w:val="17"/>
                <w:szCs w:val="17"/>
                <w:color w:val="auto"/>
              </w:rPr>
              <w:t>Korea</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1,178</w:t>
            </w:r>
          </w:p>
        </w:tc>
      </w:tr>
      <w:tr>
        <w:trPr>
          <w:trHeight w:val="23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 other</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4,249</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3,258</w:t>
            </w:r>
          </w:p>
        </w:tc>
      </w:tr>
      <w:tr>
        <w:trPr>
          <w:trHeight w:val="223"/>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Total revenue</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15,889</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14,291</w:t>
            </w:r>
          </w:p>
        </w:tc>
      </w:tr>
      <w:tr>
        <w:trPr>
          <w:trHeight w:val="20"/>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1"/>
        </w:trPr>
        <w:tc>
          <w:tcPr>
            <w:tcW w:w="7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Property and equipment are attributed to geography based on the country where the assets are located. The following table presents a summary of property and equipment by region as of March 31, 2024 and December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8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Region</w:t>
            </w: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r>
      <w:tr>
        <w:trPr>
          <w:trHeight w:val="193"/>
        </w:trPr>
        <w:tc>
          <w:tcPr>
            <w:tcW w:w="8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4"/>
          </w:tcPr>
          <w:p>
            <w:pPr>
              <w:jc w:val="right"/>
              <w:ind w:right="1038"/>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27"/>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Japan</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3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27"/>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All other countries</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property and equipment</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7"/>
                <w:szCs w:val="17"/>
                <w:b w:val="1"/>
                <w:bCs w:val="1"/>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months ended March 31, 2024 and 2023, the Company has not incurred any costs related to warranty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w:t>
      </w:r>
    </w:p>
    <w:p>
      <w:pPr>
        <w:spacing w:after="0" w:line="1" w:lineRule="exact"/>
        <w:rPr>
          <w:sz w:val="20"/>
          <w:szCs w:val="20"/>
          <w:color w:val="auto"/>
        </w:rPr>
      </w:pPr>
    </w:p>
    <w:p>
      <w:pPr>
        <w:jc w:val="both"/>
        <w:ind w:firstLine="8"/>
        <w:spacing w:after="0" w:line="261" w:lineRule="auto"/>
        <w:tabs>
          <w:tab w:leader="none" w:pos="299"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February of 2012, Gu-Guide LP, a real estate entity controlled by the Company’s founding principal stockholder, Bank of the West and Silvaco Group, Inc., as guarantor, entered into a loan agreement pursuant to which Bank of the West agreed to lend Gu-Guide LP certain amounts of money. The Loan is secured by a building representing a total of 9,000 square feet located at 4701 Patrick Henry Drive, Santa Clara, California 95054. In the event that the proceeds from the foreclosure of the foregoing collateral are insufficient to repay the outstanding amounts under the Loan, Silvaco Group Inc. has guaranteed the repayment of the outstanding amounts under the Loan. As of March 31, 2024, $0.8 million is outstanding under the Loan which matures on August 1,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is involved in routine legal proceedings in the ordinary course of business. The outcome of such matters is not expected to have a material adverse effect on the Company’s consolidated financial position, results of operations, or liquidity. However, each of these matters is subject to various uncertainties and it is possible that an unfavorable resolution of one or more of these proceedings could materially affect the Company's results of operations, cash flows or financial position.</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an effort to clarify its obligations with respect to the earnout payment due to the selling shareholders of Nangate, Inc. (“Nangate”) following the Company’s acquisition of Nangate in 2018, the Company sought declaratory relief in the California Superior Court in December 2020. In February 2021, two of the selling shareholders of Nangate (together with a third cross-complainant who joined later, the “Nangate Parties”) filed a cross-complaint against the Company and two members of the Company’s board of directors, alleging, among other causes of action, breach of contract, fraud, and negligent misrepresentation. In January 2022, the Nangate Parties filed a third amended cross-complaint against Silvaco, Inc. and certain of its board members alleging breach of contract, fraud, and unfair business practices and is seeking $20.0 million in damages, along with punitive damages. A jury trial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with this litigation commenced in the second quarter of 2024. The Company is vigorously defending itself in this litigation. The Company accordingly has not recorded a charge for this contingency.</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August 19, 2021, Aldini AG (“Aldini”) sued the Company, the Company’s French affiliate, a member of the Company’s board of directors and the Company’s CEO, among numerous other noncompany defendants, in connection with the Company’s interactions with Dolphin Design SAS (“Dolphin”). Aldini’s allegations center around the bankruptcy and reorganization of Dolphin in 2018 and Silvaco, Inc.’s acquisition of certain memory assets of Dolphin, which Aldini alleges was done in violation of its rights as a shareholder of Dolphin. Aldini’s First Amended Complaint asserts various tort claims against Silvaco, Inc., Silvaco France, and officers Iliya Pesic and Babak Taheri, including claims for trade secret theft, conspiracy, and intentional interference with a prospective economic advantage. Silvaco, Inc. filed a motion to dismiss; the trade secret theft and conspiracy claims were dismissed with prejudice and the intentional tort claims were dismissed with leave to amend. On August 23, 2022, Aldini filed a Second Amended Complaint against Silvaco, Inc., Silvaco France, and officers Iliya Pesic and Babak Taheri that included similar claims of trade secret theft, conspiracy, and intentional interference with a prospective economic advantage in relation to Silvaco, Inc.’s acquisition of certain assets of Dolphin. Aldini seeks $703.0 million and punitive damages. On March 17, 2023, the Second Amended Complaint was dismissed on all counts, subject to a right of appeal. Aldini has filed a notice of appeal on April 27, 2023. The Company is vigorously defending itself in this litigation. The Company accordingly has not recorded a charge for this contingency.</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Company’s software solutions and technology are subject to export control and import laws and regulations of applicable jurisdictions. Certain of the Company’s software solutions are subject to U.S. export controls and sanctions, including the Export Administration Regulations, U.S. Customs regulations, and the economic and trade sanctions regulations administered by the U.S. Treasury Department’s Office of Foreign Assets Control (“OFAC”). Between August 2019 and June 2022, the Company filed various voluntary disclosures with United States Department of Commerce Bureau of Industry and Security (“BIS”) regarding potential violations of U.S. export control laws and regulations, specifically, the export of the Company’s licenses to certain parties designated on BIS’s Entity List and Unverified List, and the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In July and October 2022 and January 2023, the Company also filed voluntary disclosures with OFAC regarding potential violations of OFAC sanctions programs, specifically the download of certain Company software modules by users in U.S. embargoed countries. The matters described in these voluntary disclosures remain pending before BIS and OFAC. The Company cannot estimate any reasonable possible loss at this time and has not recorded a charge for this contingency. However, if either organization chose to bring an enforcement action against the Company such actions could result in significant penalties.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After establishing its branch office in Russia in 2017, the Company used a local bank (“Bank A”) as its primary financial institution and engaged a local service provider (“Local Agent”) to act as its tax, accounting and legal consultant to advise with respect to matters affecting the branch office. As a result of the conflict in Ukraine, Bank A was sanctioned by OFAC on April 6, 2022, and, based on the recommendation from the Local Agent, the Company established replacement bank accounts at another local bank (“Bank B”), which were opened on June 2, 2022. Following the opening of the new accounts at Bank B, the Local Agent used the Bank B accounts to receive injections of funds from the Company’s US bank accounts; transferred the funds from Bank B to Bank A and paid compensation of certain of the Company’s employees and other expenses using the Company’s bank accounts at Bank A. The discovery of transactions involving the Company’s funds through Bank A following the establishment of the Company’s accounts at Bank B led to the Company’s subsequent voluntary self-disclosure in October 2023. The Company cannot estimate any reasonable possible loss at this time and has not recorded a charge for this contingency. However, if OFAC chose to bring an enforcement action against the Company such actions could result in significant penalties.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September 22, 2023 and May 3, 2024, the Company received demand letters from a customer related to alleged deficiencies in certain intellectual property used by the customer. Management is in initial discussions with the customer regarding the nature of the claims set forth in the letter. Given the early stages of the matter and the unknown financial impact, the Company cannot estimate any reasonable range of loss. The Company accordingly has not recorded a charge for this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liabilities that are measured at estimated fair value on a recurring basis as of March 31, 2024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Borders>
              <w:top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Fair value measurements as of March 31, 2024</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2"/>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681"/>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Level 3</w:t>
            </w:r>
          </w:p>
        </w:tc>
      </w:tr>
      <w:tr>
        <w:trPr>
          <w:trHeight w:val="209"/>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w:t>
            </w:r>
          </w:p>
        </w:tc>
      </w:tr>
      <w:tr>
        <w:trPr>
          <w:trHeight w:val="21"/>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8"/>
        </w:trPr>
        <w:tc>
          <w:tcPr>
            <w:tcW w:w="4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center"/>
              <w:ind w:right="155"/>
              <w:spacing w:after="0"/>
              <w:rPr>
                <w:sz w:val="20"/>
                <w:szCs w:val="20"/>
                <w:color w:val="auto"/>
              </w:rPr>
            </w:pPr>
            <w:r>
              <w:rPr>
                <w:rFonts w:ascii="Arial" w:cs="Arial" w:eastAsia="Arial" w:hAnsi="Arial"/>
                <w:sz w:val="14"/>
                <w:szCs w:val="14"/>
                <w:b w:val="1"/>
                <w:bCs w:val="1"/>
                <w:color w:val="auto"/>
              </w:rPr>
              <w:t>Fair value measurements as of December 31, 2023</w:t>
            </w:r>
          </w:p>
        </w:tc>
        <w:tc>
          <w:tcPr>
            <w:tcW w:w="1200" w:type="dxa"/>
            <w:vAlign w:val="bottom"/>
            <w:tcBorders>
              <w:bottom w:val="single" w:sz="8" w:color="auto"/>
            </w:tcBorders>
          </w:tcPr>
          <w:p>
            <w:pPr>
              <w:spacing w:after="0"/>
              <w:rPr>
                <w:sz w:val="24"/>
                <w:szCs w:val="24"/>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681"/>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Level 3</w:t>
            </w:r>
          </w:p>
        </w:tc>
      </w:tr>
      <w:tr>
        <w:trPr>
          <w:trHeight w:val="209"/>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ind w:left="9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112</w:t>
            </w:r>
          </w:p>
        </w:tc>
      </w:tr>
      <w:tr>
        <w:trPr>
          <w:trHeight w:val="21"/>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4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Company’s stock purchase agreements for the acquisition of Nangate in March of 2018 and PolytEDA Cloud LLC (“PolytEDA”) in January of 2021, the selling shareholders are entitled to additional milestone and earn out consideration based on net revenues, operating income and technical achievement. The milestone consideration and earn-out liabilities are classified as contingent consideration as the obligations are due in cash. As such the obligations are recorded at their fair value and re-valued period to period with any changes recorded to other income (expense).</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changes in the liability related to contingent consideration as of December 31, 2023 and March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2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i w:val="1"/>
                <w:iCs w:val="1"/>
                <w:color w:val="auto"/>
              </w:rPr>
              <w:t>(in thousands)</w:t>
            </w:r>
          </w:p>
        </w:tc>
      </w:tr>
      <w:tr>
        <w:trPr>
          <w:trHeight w:val="227"/>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January 1, 2023</w:t>
            </w: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792</w:t>
            </w:r>
          </w:p>
        </w:tc>
      </w:tr>
      <w:tr>
        <w:trPr>
          <w:trHeight w:val="227"/>
        </w:trPr>
        <w:tc>
          <w:tcPr>
            <w:tcW w:w="8520" w:type="dxa"/>
            <w:vAlign w:val="bottom"/>
          </w:tcPr>
          <w:p>
            <w:pPr>
              <w:ind w:left="240"/>
              <w:spacing w:after="0"/>
              <w:rPr>
                <w:sz w:val="20"/>
                <w:szCs w:val="20"/>
                <w:color w:val="auto"/>
              </w:rPr>
            </w:pPr>
            <w:r>
              <w:rPr>
                <w:rFonts w:ascii="Arial" w:cs="Arial" w:eastAsia="Arial" w:hAnsi="Arial"/>
                <w:sz w:val="17"/>
                <w:szCs w:val="17"/>
                <w:color w:val="auto"/>
              </w:rPr>
              <w:t>Change in fair value</w:t>
            </w: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325</w:t>
            </w:r>
          </w:p>
        </w:tc>
      </w:tr>
      <w:tr>
        <w:trPr>
          <w:trHeight w:val="232"/>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Earn-out payments</w:t>
            </w:r>
          </w:p>
        </w:tc>
        <w:tc>
          <w:tcPr>
            <w:tcW w:w="500" w:type="dxa"/>
            <w:vAlign w:val="bottom"/>
            <w:shd w:val="clear" w:color="auto" w:fill="CCEEFF"/>
          </w:tcPr>
          <w:p>
            <w:pPr>
              <w:spacing w:after="0"/>
              <w:rPr>
                <w:sz w:val="20"/>
                <w:szCs w:val="20"/>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r>
      <w:tr>
        <w:trPr>
          <w:trHeight w:val="227"/>
        </w:trPr>
        <w:tc>
          <w:tcPr>
            <w:tcW w:w="8520" w:type="dxa"/>
            <w:vAlign w:val="bottom"/>
          </w:tcPr>
          <w:p>
            <w:pPr>
              <w:ind w:left="240"/>
              <w:spacing w:after="0"/>
              <w:rPr>
                <w:sz w:val="20"/>
                <w:szCs w:val="20"/>
                <w:color w:val="auto"/>
              </w:rPr>
            </w:pPr>
            <w:r>
              <w:rPr>
                <w:rFonts w:ascii="Arial" w:cs="Arial" w:eastAsia="Arial" w:hAnsi="Arial"/>
                <w:sz w:val="17"/>
                <w:szCs w:val="17"/>
                <w:color w:val="auto"/>
              </w:rPr>
              <w:t>Milestone achievement</w:t>
            </w: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29"/>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exchange</w:t>
            </w:r>
          </w:p>
        </w:tc>
        <w:tc>
          <w:tcPr>
            <w:tcW w:w="5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5"/>
        </w:trPr>
        <w:tc>
          <w:tcPr>
            <w:tcW w:w="8520" w:type="dxa"/>
            <w:vAlign w:val="bottom"/>
          </w:tcPr>
          <w:p>
            <w:pPr>
              <w:ind w:left="20"/>
              <w:spacing w:after="0"/>
              <w:rPr>
                <w:sz w:val="20"/>
                <w:szCs w:val="20"/>
                <w:color w:val="auto"/>
              </w:rPr>
            </w:pPr>
            <w:r>
              <w:rPr>
                <w:rFonts w:ascii="Arial" w:cs="Arial" w:eastAsia="Arial" w:hAnsi="Arial"/>
                <w:sz w:val="17"/>
                <w:szCs w:val="17"/>
                <w:b w:val="1"/>
                <w:bCs w:val="1"/>
                <w:color w:val="auto"/>
              </w:rPr>
              <w:t>Fair value as of December 31, 2023</w:t>
            </w: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24"/>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fair value</w:t>
            </w:r>
          </w:p>
        </w:tc>
        <w:tc>
          <w:tcPr>
            <w:tcW w:w="5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27"/>
        </w:trPr>
        <w:tc>
          <w:tcPr>
            <w:tcW w:w="85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Earn-out payments</w:t>
            </w: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March 31, 2024</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8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Nonfinancial assets such as property and equipment, intangibles assets, and goodwill are evaluated for impairment and adjusted to fair value using Level 3 inputs only when impairment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35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April 11, 2024, the Company amended its license agreement to offer SIP developed in partnership with NXP. The amended license agreement has a term of five years starting April 11, 2024.</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April 16, 2024, the Company entered into a note purchase agreement with Micron Technology Inc. (“Micron”), which has been and is a customer of the Company, pursuant to which the Company issued to Micron a senior subordinated convertible promissory note in the principal amount of $5.0 million (the “Micron Note”). The Micron Note was contractually subordinated to the East West Bank Loan through a subordination agreement with East West Bank, but was senior to all of our other existing debt and was senior to any new future debt incurred (other than any undrawn amount available under the current East West Bank Loan) while it was outstanding. The Micron Note accrued interest at the rate of 8% annually, with principal and interest due upon maturity three years after the date of issuance. The Micron Note was mandatorily convertible into a number of shares equal to (i) the outstanding principal amount and accrued interest divided by (ii) a conversion price equal to (a) the price of the Company’s common stock issued in an initial public offering, times (b) 0.90 if the initial public offering of common stock was consummated on or prior to May 31, 2024; 0.85 if the initial public offering of common stock was consummated between June 1, 2024 and April 16, 2025; and 0.80 if the initial public offering of common stock was consummated after April 16, 2025. On May 13, 2024, the Micron Note was converted into 294,217 shares of the Company’s common stock in connection with the closing of the IPO. The shares issued pursuant to the Micron Note have been registered for resale under the Securities Act.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April 26, 2024, in connection with the IPO, the Company’s board of directors approved and adopted, subject to stockholder approval, the 2024 Plan. The Company’s stockholders approved the 2024 Plan on April 29, 2024, and the 2024 Plan became effective on May 8, 2024. The 2024 Plan provides for incentive stock options (“ISOs”), non-qualified stock options, restricted share awards, stock unit awards, other stock-based awards, performance-based stock awards, (collectively, “Stock Awards”) and cash-based awards (Stock Awards and cash-based awards are collectively referred to as “awards”). ISOs may be granted only to employees, including officers. All other awards may be granted to employees, officers, our non-employee directors, and consultants and the employees and consultants of our subsidiaries, and affiliates. The aggregate number shares that may be issued pursuant to stock awards under the 2024 Plan will not exceed 3,425,278 shares which may be adjusted based on certain provisions in the 2024 Plan, including forfeitures, unissued Stock Awards from the 2014 Plan, and up to 3% annual increases to the 2024 Plan.</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May 13, 2024, the Company completed the sale of an aggregate of 6,000,000 shares of Common Stock to the public at a price of $19.00 per share in the IPO. The gross proceeds to the Company from the IPO were $114.0 million, with $106.0 million funded to the Company after deducting underwriting discounts and commissions. Following the completion of the IPO, in May 2024 the outstanding amounts under the 2022 Credit Line and the East West Bank Loan of $2.0 million and $4.3 million, respectively, were repaid in full and the East West Bank Loan was terminated. With the consummation of the IPO, the Company expects to incur significant stock-based compensation expense associated with certain restricted stock awards that either fully or partially vest upon a Liquidity Event, refer to Note 8 for further discussion.</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May 13, 2024, the Company filed its amended and restated certificate of incorporation with the Secretary of State of the State of Delaware and its amended and restated bylaws became effective in connection with the closing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results of operations together with our audited consolidated financial statements set forth in our the Company’s final prospectus relating to the initial public offering, dated May 8, 2024 (the “Prospectus”), relating to the Registration Statement on Form S-1 (File No. 333-278666), as amended (“Registration Statement”), filed with the SEC on May 10, 2024, pursuant to Rule 424(b)(4) under the Securities Act of 1933, as amended (“Securities Act”). This discussion contains forward-looking statements that involve risks, uncertainties and assumptions set forth in our Registration Statement.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 All subsequent written or oral forward-looking statements attributable to the Company or persons acting on our behalf are expressly qualified in their entirety by these cautionary statements. The following discussion and analysis also includes a discussion of certain non-GAAP financial measures. For a description and reconciliation of the non-GAAP measures discussed in this section, see "Key Operating Indicators and Non-GAAP Financial Measures."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 provider of TCAD software, EDA software and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SoC and ICs, and SIP management tools to enable team collaborations on complex SoC designs. Our customers include semiconductor manufacturers, OEMs and design teams who deploy our solutions in production flows across our target markets, including display, power devices, automotive, memory, HPC, IoT and 5G/6G mobile markets.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go-to-market strategy centers on selling software solutions and associated maintenance and services. Our software solutions accounted for 77% and 75% of our revenue for the three months ended March 31, 2024 and 2023, respectively, and associated maintenance and services accounted for 23% and 25% of our revenue the three months ended March 31, 2024 and 2023, respectively. For the three months ended March 31, 2024 and 2023, approximately 88% and 76% of our bookings came from existing customers, respectively, and 12% and 24% came from new customers, respectively.</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months ended March 31, 2024, we continued to experience an increase in bookings and revenue. Our bookings were $16.1 million and $15.7 million for the three months ended March 31, 2024 and 2023, respectively. Our revenue was $15.9 million and $14.3 million for the three months ended March 31, 2024 and 2023,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believe that the growth of our business and our future success are dependent upon many factors including those described above under “Risk Factors” and elsewhere in this quarterly report and those described below. While each of these factors presents significant opportunities for us, these factors also pose challenges that we must successfully address to sustain the growth of our business and enhance our results of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with Our Existing Customers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Building long-term relationships with our existing customer base is critical in driving renewals for our licenses and overall revenue growth. We have a global sales force selling to semiconductor companies and engineering universities which instruct the next generation of chip designers and fabrication facility managers on the use and benefits of our design tools. Most of our customers enter into multi-year software license agreements for a fixed price including a multi-year software license and maintenance and services.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When we renew expiring contracts with our customers, we may increase our bookings by selling them additional or new software or SIP. Over time, we expect that existing customers will choose to upgrade and purchase additional products, particularly as we de-emphasize our lower margin products, which we expect will over the long term drive margin expansion.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enter into standard software licensing agreements with each of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Our Product Offerings</w:t>
      </w:r>
    </w:p>
    <w:p>
      <w:pPr>
        <w:spacing w:after="0" w:line="4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To meet the increasing complexity of semiconductor designs, the introduction of new advanced materials, and the increased costs associated with more advanced semiconductor technology nodes, we will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For example, we have developed an artificial intelligence-based solution named fab technology co-optimization or FTCO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for wafer level fabrication facilities. FTCO utilizes manufacturing data to perform statistical and physics-based machine learning software simulations to create a computer model of a wafer, which we call the “digital twin” of the wafer, in order to simulate the fabrication of wafers.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into New Markets and Applications and Expansion of our Existing Markets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According to Grand View Research, the global EDA software market was estimated to reach $11.1 billion in potential revenue in 2022 and is expected to reach $22.2 billion in potential revenue in 2030, representing a 9% CAGR, driven in part by the growth in the integrated circuits and electronics manufacturing markets, growing complexity of semiconductor and photonics designs and increasing challenges associated with advanced materials and shrinking process technology nodes across the EDA market. We believe these trends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 was 23% and 24% of revenue for the three months ended March 31, 2024 and 2023, respectively. We plan to continue to invest in our software solutions to establish and expand a leadership position in our target markets. We also plan to use our research and development efforts to continue to cater to strategic customer needs.</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Successfully Identify, Complete and Integrate Acquisitions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in part on our ability to identify, complete and integrate acquisitions. Our goal for future potential acquisition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When we engage in M&amp;A,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Calibrate Our Product Mix to Enhance Margin Expansion</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anticipate that our results will be impacted by the increase or decrease of a given product or service as a percentage of total revenue relative to our other products and services. If and as higher margin products become a larger part of our product mix, or conversely as low margin products become a smaller part of our product mix, our gross margin will expand. While we may enter into agreements with third parties for lower margin product solutions, we anticipate our focus on higher margin solutions will continue to lead our other products and services within our product mix, which we anticipate may lead to gross margin and operating margin expansion. Our future ability to shape our product mix with higher margin products making up a larger percentage of our total revenue will impact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Scale While Mitigating Increases in Expenses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increased general and administrative expenses in connection with preparing to become a public company, including increased staff costs and professional services fees, including legal and accounting fees. While we anticipate the increased level of costs to remain, we do not anticipate those costs scaling proportionally with our revenue. Finally, we may be able to gain sales efficiencies as our revenue grows, such that our sales and marketing expenses will decrease as a percentage of revenue. In the aggregate, our ability to keep these expenses from growing proportionally with our revenue may provide for meaningful gross margin and operating margin expansion.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revenue is derived from software licensing and maintenance and services. Our customer agreements include combinations of licensed software and maintenance and services, which are accounted for as separate performance obligations with differing revenue recognition patterns.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License Revenue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Revenue from our software licenses is classified as software license revenue. Software license revenue is recognized upfront upon delivery of the licensed product. We also offer licenses of our standard SIP developed in house, and we offer licenses to our SIP developed in partnership with a third party vendor. Our SIP licenses provide customers with access to SoC design SIP which meet established industry standards, thus saving customers the time and resources required to develop similar design methodologies. Our SIP are generally ready to use upon delivery, meaning no customization is required for our customers to obtain value from the use of our SIP in their IC designs. We recognize revenue associated with licenses of our SIP at the commencement of the contract upon delivery of the licensed SIP. With respect to our SIP developed in partnership with a third party vendor, we generally acted as a principal to the transaction because we controlled the promised SIP that we delivered to the customer. Consistent with our role as the principal, we recognized SIP revenue of our SIP developed in partnership with the third party vendor on a gross basis. Any royalty fees based upon unit sales, revenue or flat fees which were paid to the third party vendor were reported in cost of revenue upon delivery pursuant to the terms and conditions of our contractual obligations with the licensors.</w:t>
      </w:r>
    </w:p>
    <w:p>
      <w:pPr>
        <w:spacing w:after="0" w:line="142"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Under certain SIP license agreements, we can also derive revenue through royalties from customers who agree to pay usage-based fees to embed our SIP into their own software offerings. Revenue under SIP royalty agreements is generally recognized during the period in which the customer sells its solutions which incorporate our SIP.</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Service Revenue</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Typically, our software solutions are sold with post-contract support, or PCS, which includes unspecified technical enhancements and customer support. PCS is classified as maintenance revenue and is recognized ratably over the term of the contract, as we satisfy the PCS performance obligation over time.</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recognized an immaterial portion of our revenue from device characterization and modeling services for the three months ended March 31, 2024 and 2023. Revenue is recognized upon the completion of the requested services and, as applicable, satisfaction of customer acceptance terms. Revenue from these services is classified as maintenance and service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and royalties related to the recognized revenue. Gross profit represents revenue less cost of revenue.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operating expenses consist of research and development, selling and marketing, and general and administrative expenses. Personnel costs are the most significant component of our operating expenses and consist of salaries, benefits, bonuses and commissions. Our operating expenses also include consulting costs, costs of facilities, information technology, depreciation and amortization. We expect our operating expenses to fluctuate as a percentage of revenue over time. Historically, we have not recognized stock-based compensation, but we expect we will do so after the closing of our IPO. We expect that this expense will be a component of general and administrative expense, research and development expense, selling and marketing expense and cost of revenue, and any such amounts could be significant. As of March 31, 2024, we had $39.1 million in unrecognized stock-based compensation expense, of which $12.8 million relates to awards that have met the Time-Based Requirement but not the Liquidity Event Requirement, and the remaining $26.3 million in unrecognized stock-based compensation expense relates to awards that have not met either requirement. In the period in which the Liquidity Event Requirement is satisfied, we will record cumulative stock-based compensation expense for the service period through such date using the straight-line attribution method, net of actual forfeitures, based on the grant-date fair value of the RSU awards. Had the IPO, which is a qualifying Liquidity Event, occurred on March 31, 2024, the Time Based Requirement would have been accelerated, in accordance with their terms, for an additional 228,043 RSUs, and we would have recognized cumulative combined stock-based compensation expense of $16.5 million for active and former employees and service providers.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research and development expense consists primarily of personnel costs comprised of salaries, benefits for employees directly involved in our research and development efforts,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 development expenses to continue to increase, although it may fluctuate as a percentage of revenue from period to period depending on the timing of these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and marketing expense consists of personnel costs comprised of salaries,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General and administrative expense consists of personnel costs associated with our executive, legal, finance, human resources, information technology and other administrative functions, including salaries,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 associated with operating as a public company, including director and officer liability insurance and legal and compliance costs, although it may fluctuate as a percentage of revenue from period to period depending on the timing of these expenses.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3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Interest and other expense, net includes interest income earned on cash balances or other sources, interest expense associated with cost of borrowings, leases or interest-bearing agreements, foreign exchange gains and losses and changes in the fair value of contingent consideration associated with legacy 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is our estimate of current tax expense incurred from the consolidated results of operations globally.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three months ended March 31,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780" w:type="dxa"/>
            <w:vAlign w:val="bottom"/>
            <w:tcBorders>
              <w:top w:val="single" w:sz="8" w:color="auto"/>
              <w:bottom w:val="single" w:sz="8" w:color="auto"/>
            </w:tcBorders>
            <w:gridSpan w:val="6"/>
          </w:tcPr>
          <w:p>
            <w:pPr>
              <w:jc w:val="center"/>
              <w:ind w:right="19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Change</w:t>
            </w:r>
          </w:p>
        </w:tc>
      </w:tr>
      <w:tr>
        <w:trPr>
          <w:trHeight w:val="193"/>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6"/>
                <w:szCs w:val="16"/>
                <w:color w:val="auto"/>
              </w:rPr>
            </w:pPr>
          </w:p>
        </w:tc>
      </w:tr>
      <w:tr>
        <w:trPr>
          <w:trHeight w:val="23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Software license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10,665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and service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1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1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7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Income before 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1"/>
        </w:trPr>
        <w:tc>
          <w:tcPr>
            <w:tcW w:w="7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total revenue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60" w:type="dxa"/>
            <w:vAlign w:val="bottom"/>
          </w:tcPr>
          <w:p>
            <w:pPr>
              <w:spacing w:after="0"/>
              <w:rPr>
                <w:sz w:val="17"/>
                <w:szCs w:val="17"/>
                <w:color w:val="auto"/>
              </w:rPr>
            </w:pPr>
          </w:p>
        </w:tc>
        <w:tc>
          <w:tcPr>
            <w:tcW w:w="27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23"/>
        </w:trPr>
        <w:tc>
          <w:tcPr>
            <w:tcW w:w="898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2024</w:t>
            </w: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9"/>
                <w:szCs w:val="19"/>
                <w:color w:val="auto"/>
              </w:rPr>
            </w:pPr>
          </w:p>
        </w:tc>
      </w:tr>
      <w:tr>
        <w:trPr>
          <w:trHeight w:val="208"/>
        </w:trPr>
        <w:tc>
          <w:tcPr>
            <w:tcW w:w="7960" w:type="dxa"/>
            <w:vAlign w:val="bottom"/>
          </w:tcPr>
          <w:p>
            <w:pPr>
              <w:spacing w:after="0"/>
              <w:rPr>
                <w:sz w:val="18"/>
                <w:szCs w:val="18"/>
                <w:color w:val="auto"/>
              </w:rPr>
            </w:pPr>
          </w:p>
        </w:tc>
        <w:tc>
          <w:tcPr>
            <w:tcW w:w="2740" w:type="dxa"/>
            <w:vAlign w:val="bottom"/>
            <w:tcBorders>
              <w:top w:val="single" w:sz="8" w:color="auto"/>
            </w:tcBorders>
            <w:gridSpan w:val="4"/>
          </w:tcPr>
          <w:p>
            <w:pPr>
              <w:ind w:left="560"/>
              <w:spacing w:after="0"/>
              <w:rPr>
                <w:sz w:val="20"/>
                <w:szCs w:val="20"/>
                <w:color w:val="auto"/>
              </w:rPr>
            </w:pPr>
            <w:r>
              <w:rPr>
                <w:rFonts w:ascii="Arial" w:cs="Arial" w:eastAsia="Arial" w:hAnsi="Arial"/>
                <w:sz w:val="14"/>
                <w:szCs w:val="14"/>
                <w:i w:val="1"/>
                <w:iCs w:val="1"/>
                <w:color w:val="auto"/>
              </w:rPr>
              <w:t>(as a percentage of total revenue)</w:t>
            </w:r>
          </w:p>
        </w:tc>
        <w:tc>
          <w:tcPr>
            <w:tcW w:w="540" w:type="dxa"/>
            <w:vAlign w:val="bottom"/>
            <w:tcBorders>
              <w:top w:val="single" w:sz="8" w:color="auto"/>
            </w:tcBorders>
          </w:tcPr>
          <w:p>
            <w:pPr>
              <w:spacing w:after="0"/>
              <w:rPr>
                <w:sz w:val="18"/>
                <w:szCs w:val="18"/>
                <w:color w:val="auto"/>
              </w:rPr>
            </w:pPr>
          </w:p>
        </w:tc>
      </w:tr>
      <w:tr>
        <w:trPr>
          <w:trHeight w:val="22"/>
        </w:trPr>
        <w:tc>
          <w:tcPr>
            <w:tcW w:w="7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50"/>
        </w:trPr>
        <w:tc>
          <w:tcPr>
            <w:tcW w:w="8980" w:type="dxa"/>
            <w:vAlign w:val="bottom"/>
            <w:gridSpan w:val="2"/>
          </w:tcPr>
          <w:p>
            <w:pPr>
              <w:ind w:left="20"/>
              <w:spacing w:after="0"/>
              <w:rPr>
                <w:sz w:val="20"/>
                <w:szCs w:val="20"/>
                <w:color w:val="auto"/>
              </w:rPr>
            </w:pPr>
            <w:r>
              <w:rPr>
                <w:rFonts w:ascii="Arial" w:cs="Arial" w:eastAsia="Arial" w:hAnsi="Arial"/>
                <w:sz w:val="17"/>
                <w:szCs w:val="17"/>
                <w:color w:val="auto"/>
              </w:rPr>
              <w:t>Software license revenue</w:t>
            </w:r>
          </w:p>
        </w:tc>
        <w:tc>
          <w:tcPr>
            <w:tcW w:w="580" w:type="dxa"/>
            <w:vAlign w:val="bottom"/>
          </w:tcPr>
          <w:p>
            <w:pPr>
              <w:jc w:val="right"/>
              <w:spacing w:after="0"/>
              <w:rPr>
                <w:sz w:val="20"/>
                <w:szCs w:val="20"/>
                <w:color w:val="auto"/>
              </w:rPr>
            </w:pPr>
            <w:r>
              <w:rPr>
                <w:rFonts w:ascii="Arial" w:cs="Arial" w:eastAsia="Arial" w:hAnsi="Arial"/>
                <w:sz w:val="17"/>
                <w:szCs w:val="17"/>
                <w:color w:val="auto"/>
              </w:rPr>
              <w:t>77 %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75 %</w:t>
            </w:r>
          </w:p>
        </w:tc>
      </w:tr>
      <w:tr>
        <w:trPr>
          <w:trHeight w:val="257"/>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 and service</w:t>
            </w:r>
          </w:p>
        </w:tc>
        <w:tc>
          <w:tcPr>
            <w:tcW w:w="10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25 %</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50"/>
        </w:trPr>
        <w:tc>
          <w:tcPr>
            <w:tcW w:w="898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580" w:type="dxa"/>
            <w:vAlign w:val="bottom"/>
          </w:tcPr>
          <w:p>
            <w:pPr>
              <w:jc w:val="right"/>
              <w:spacing w:after="0"/>
              <w:rPr>
                <w:sz w:val="20"/>
                <w:szCs w:val="20"/>
                <w:color w:val="auto"/>
              </w:rPr>
            </w:pPr>
            <w:r>
              <w:rPr>
                <w:rFonts w:ascii="Arial" w:cs="Arial" w:eastAsia="Arial" w:hAnsi="Arial"/>
                <w:sz w:val="17"/>
                <w:szCs w:val="17"/>
                <w:color w:val="auto"/>
              </w:rPr>
              <w:t>88 %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86 %</w:t>
            </w:r>
          </w:p>
        </w:tc>
      </w:tr>
      <w:tr>
        <w:trPr>
          <w:trHeight w:val="216"/>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50"/>
        </w:trPr>
        <w:tc>
          <w:tcPr>
            <w:tcW w:w="89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7"/>
                <w:szCs w:val="17"/>
                <w:color w:val="auto"/>
              </w:rPr>
              <w:t>23 %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63"/>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29 %</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32 %</w:t>
            </w: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73 %</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75 %</w:t>
            </w:r>
          </w:p>
        </w:tc>
      </w:tr>
      <w:tr>
        <w:trPr>
          <w:trHeight w:val="250"/>
        </w:trPr>
        <w:tc>
          <w:tcPr>
            <w:tcW w:w="898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580" w:type="dxa"/>
            <w:vAlign w:val="bottom"/>
          </w:tcPr>
          <w:p>
            <w:pPr>
              <w:jc w:val="right"/>
              <w:spacing w:after="0"/>
              <w:rPr>
                <w:sz w:val="20"/>
                <w:szCs w:val="20"/>
                <w:color w:val="auto"/>
              </w:rPr>
            </w:pPr>
            <w:r>
              <w:rPr>
                <w:rFonts w:ascii="Arial" w:cs="Arial" w:eastAsia="Arial" w:hAnsi="Arial"/>
                <w:sz w:val="17"/>
                <w:szCs w:val="17"/>
                <w:color w:val="auto"/>
              </w:rPr>
              <w:t>15 %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11 %</w:t>
            </w:r>
          </w:p>
        </w:tc>
      </w:tr>
      <w:tr>
        <w:trPr>
          <w:trHeight w:val="257"/>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net</w:t>
            </w:r>
          </w:p>
        </w:tc>
        <w:tc>
          <w:tcPr>
            <w:tcW w:w="10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50"/>
        </w:trPr>
        <w:tc>
          <w:tcPr>
            <w:tcW w:w="898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 provision</w:t>
            </w:r>
          </w:p>
        </w:tc>
        <w:tc>
          <w:tcPr>
            <w:tcW w:w="580" w:type="dxa"/>
            <w:vAlign w:val="bottom"/>
          </w:tcPr>
          <w:p>
            <w:pPr>
              <w:jc w:val="right"/>
              <w:spacing w:after="0"/>
              <w:rPr>
                <w:sz w:val="20"/>
                <w:szCs w:val="20"/>
                <w:color w:val="auto"/>
              </w:rPr>
            </w:pPr>
            <w:r>
              <w:rPr>
                <w:rFonts w:ascii="Arial" w:cs="Arial" w:eastAsia="Arial" w:hAnsi="Arial"/>
                <w:sz w:val="17"/>
                <w:szCs w:val="17"/>
                <w:color w:val="auto"/>
              </w:rPr>
              <w:t>14 %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57"/>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10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57"/>
        </w:trPr>
        <w:tc>
          <w:tcPr>
            <w:tcW w:w="898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580" w:type="dxa"/>
            <w:vAlign w:val="bottom"/>
          </w:tcPr>
          <w:p>
            <w:pPr>
              <w:jc w:val="right"/>
              <w:spacing w:after="0"/>
              <w:rPr>
                <w:sz w:val="20"/>
                <w:szCs w:val="20"/>
                <w:color w:val="auto"/>
              </w:rPr>
            </w:pPr>
            <w:r>
              <w:rPr>
                <w:rFonts w:ascii="Arial" w:cs="Arial" w:eastAsia="Arial" w:hAnsi="Arial"/>
                <w:sz w:val="17"/>
                <w:szCs w:val="17"/>
                <w:color w:val="auto"/>
              </w:rPr>
              <w:t>9 %</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1"/>
        </w:trPr>
        <w:tc>
          <w:tcPr>
            <w:tcW w:w="7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79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2024 and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4"/>
          </w:tcPr>
          <w:p>
            <w:pPr>
              <w:jc w:val="right"/>
              <w:ind w:right="39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12,258</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10,665</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w:t>
            </w:r>
          </w:p>
        </w:tc>
      </w:tr>
      <w:tr>
        <w:trPr>
          <w:trHeight w:val="225"/>
        </w:trPr>
        <w:tc>
          <w:tcPr>
            <w:tcW w:w="814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14,291</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Total revenue increased $1.6 million, or 11%, to $15.9 million for the three months ended March 31, 2024 from $14.3 million for the three months ended March 31, 2023. The growth in total revenue was driven primarily by a $2.4 million increase in sales revenue associated with our TCAD and EDA tools partially offset by a $0.7 million decline in revenue derived from IP sales, as a result of our intermittent lapse in our contractual arrangement with NXP. Software license revenue increased $1.6 million, or 15%, to $12.3 million for the three months ended March 31, 2024 from $10.7 million for the three months ended March 31, 2023. We recognized maintenance and service revenue of $3.6 million in each of the three months ended March 31, 2024 and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Gross profit increased $1.6 million, or 13%, to $13.9 million for the three months ended March 31, 2024 from $12.3 million for the three months ended March 31, 2023. Gross profit margin increased to 88% for the three months ended March 31, 2024 from 86% for the three months ended March 31, 2023, primarily due to the increase of TCAD and EDA tool sales partially offset by a decrease in IP sales.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5"/>
          </w:tcPr>
          <w:p>
            <w:pPr>
              <w:jc w:val="right"/>
              <w:ind w:right="397"/>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r>
      <w:tr>
        <w:trPr>
          <w:trHeight w:val="193"/>
        </w:trPr>
        <w:tc>
          <w:tcPr>
            <w:tcW w:w="8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920" w:type="dxa"/>
            <w:vAlign w:val="bottom"/>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3,616</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3,375</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4,553</w:t>
            </w:r>
          </w:p>
        </w:tc>
      </w:tr>
      <w:tr>
        <w:trPr>
          <w:trHeight w:val="225"/>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operating expenses</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11,528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10,733</w:t>
            </w:r>
          </w:p>
        </w:tc>
      </w:tr>
      <w:tr>
        <w:trPr>
          <w:trHeight w:val="74"/>
        </w:trPr>
        <w:tc>
          <w:tcPr>
            <w:tcW w:w="8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were $3.6 million and $3.4 million for the three months ended March 31, 2024 and 2023, respectively. The</w:t>
      </w:r>
    </w:p>
    <w:p>
      <w:pPr>
        <w:spacing w:after="0" w:line="10"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increase of $0.2 million, or 7%, was primarily due to higher compensation of $0.2 million primarily related to merit increases when compared to the three months ended March 31,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and marketing expenses were $3.3 million and $2.8 million for the three months ended March 31, 2024 and 2023, respectively. The increase of $0.5 million, or 18%, was primarily due to higher compensation of $0.3 million primarily related to increased headcount, and a $0.2 million increase in marketing related events during the three months ended March 31, 2024.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4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General and administrative expenses were $4.6 million for the three months ended March 31, 2024, which was consistent as compared to $4.6 million during the three months ended March 31, 2023.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and other expense, net, was $0.2 million and $0.3 million for the three months ended March 31, 2024 and 2023, respectively. Interest and other expense, net, includes interest income earned on cash balances or other sources, interest expense associated with cost of borrowings, leases or interest-bearing agreements, foreign exchange gains and losses and changes in the fair value of contingent consideration associated with legacy acquisitions. The decrease in interest and other expense, net, was primary the result of foreign exchange.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7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 xml:space="preserve">Income tax provision was $0.8 million and $0.4 million for the three months ended March 31, 2024 and 2023, respectively. See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white"/>
        </w:rPr>
        <w:t>9</w:t>
      </w:r>
      <w:r>
        <w:rPr>
          <w:rFonts w:ascii="Arial" w:cs="Arial" w:eastAsia="Arial" w:hAnsi="Arial"/>
          <w:sz w:val="17"/>
          <w:szCs w:val="17"/>
          <w:color w:val="auto"/>
        </w:rPr>
        <w:t xml:space="preserve"> of our condensed consolidated financial statements for the three months ended March 31, 2024 and 2023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-278765</wp:posOffset>
            </wp:positionV>
            <wp:extent cx="34290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1200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Indicators and Non-GAAP Financial Measures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use the following key performance indicators and non-GAAP financial measures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3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define a booking as a signed contract and related purchase commitment from a customer, based on the value set forth in a purchase order. We believe bookings are a useful metric to measure the success of customer sales and provide an indication of trends in our operating results that are not necessarily reflected in our revenue, because our revenue recognition is based on the later satisfaction of our customer obligations, and not of the sales to customers at the time of sale. Reported bookings may be subject to adjustments and potential cancellations prior to the satisfaction of our customer obligations. For the three months ended March 31, 2024 and 2023, we recorded $16.1 million and $15.7 million in bookings,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bookings for each of the three month periods during the trailing five quarters as of March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r>
      <w:tr>
        <w:trPr>
          <w:trHeight w:val="143"/>
        </w:trPr>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04"/>
              <w:spacing w:after="0" w:line="143" w:lineRule="exact"/>
              <w:rPr>
                <w:sz w:val="20"/>
                <w:szCs w:val="20"/>
                <w:color w:val="auto"/>
              </w:rPr>
            </w:pPr>
            <w:r>
              <w:rPr>
                <w:rFonts w:ascii="Arial" w:cs="Arial" w:eastAsia="Arial" w:hAnsi="Arial"/>
                <w:sz w:val="14"/>
                <w:szCs w:val="14"/>
                <w:b w:val="1"/>
                <w:bCs w:val="1"/>
                <w:color w:val="auto"/>
              </w:rPr>
              <w:t>Mar 31,</w:t>
            </w:r>
          </w:p>
        </w:tc>
        <w:tc>
          <w:tcPr>
            <w:tcW w:w="320" w:type="dxa"/>
            <w:vAlign w:val="bottom"/>
          </w:tcPr>
          <w:p>
            <w:pPr>
              <w:spacing w:after="0"/>
              <w:rPr>
                <w:sz w:val="12"/>
                <w:szCs w:val="12"/>
                <w:color w:val="auto"/>
              </w:rPr>
            </w:pPr>
          </w:p>
        </w:tc>
        <w:tc>
          <w:tcPr>
            <w:tcW w:w="1000" w:type="dxa"/>
            <w:vAlign w:val="bottom"/>
          </w:tcPr>
          <w:p>
            <w:pPr>
              <w:jc w:val="center"/>
              <w:ind w:right="144"/>
              <w:spacing w:after="0" w:line="143" w:lineRule="exact"/>
              <w:rPr>
                <w:sz w:val="20"/>
                <w:szCs w:val="20"/>
                <w:color w:val="auto"/>
              </w:rPr>
            </w:pPr>
            <w:r>
              <w:rPr>
                <w:rFonts w:ascii="Arial" w:cs="Arial" w:eastAsia="Arial" w:hAnsi="Arial"/>
                <w:sz w:val="14"/>
                <w:szCs w:val="14"/>
                <w:b w:val="1"/>
                <w:bCs w:val="1"/>
                <w:color w:val="auto"/>
              </w:rPr>
              <w:t>Dec 31,</w:t>
            </w:r>
          </w:p>
        </w:tc>
        <w:tc>
          <w:tcPr>
            <w:tcW w:w="380" w:type="dxa"/>
            <w:vAlign w:val="bottom"/>
          </w:tcPr>
          <w:p>
            <w:pPr>
              <w:spacing w:after="0"/>
              <w:rPr>
                <w:sz w:val="12"/>
                <w:szCs w:val="12"/>
                <w:color w:val="auto"/>
              </w:rPr>
            </w:pPr>
          </w:p>
        </w:tc>
        <w:tc>
          <w:tcPr>
            <w:tcW w:w="1120" w:type="dxa"/>
            <w:vAlign w:val="bottom"/>
          </w:tcPr>
          <w:p>
            <w:pPr>
              <w:jc w:val="center"/>
              <w:ind w:right="264"/>
              <w:spacing w:after="0" w:line="143" w:lineRule="exact"/>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2"/>
                <w:szCs w:val="12"/>
                <w:color w:val="auto"/>
              </w:rPr>
            </w:pPr>
          </w:p>
        </w:tc>
        <w:tc>
          <w:tcPr>
            <w:tcW w:w="11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9"/>
              </w:rPr>
              <w:t>Jun 30,</w:t>
            </w:r>
          </w:p>
        </w:tc>
        <w:tc>
          <w:tcPr>
            <w:tcW w:w="260" w:type="dxa"/>
            <w:vAlign w:val="bottom"/>
          </w:tcPr>
          <w:p>
            <w:pPr>
              <w:spacing w:after="0"/>
              <w:rPr>
                <w:sz w:val="12"/>
                <w:szCs w:val="12"/>
                <w:color w:val="auto"/>
              </w:rPr>
            </w:pPr>
          </w:p>
        </w:tc>
        <w:tc>
          <w:tcPr>
            <w:tcW w:w="1020" w:type="dxa"/>
            <w:vAlign w:val="bottom"/>
          </w:tcPr>
          <w:p>
            <w:pPr>
              <w:jc w:val="center"/>
              <w:ind w:right="184"/>
              <w:spacing w:after="0" w:line="143" w:lineRule="exact"/>
              <w:rPr>
                <w:sz w:val="20"/>
                <w:szCs w:val="20"/>
                <w:color w:val="auto"/>
              </w:rPr>
            </w:pPr>
            <w:r>
              <w:rPr>
                <w:rFonts w:ascii="Arial" w:cs="Arial" w:eastAsia="Arial" w:hAnsi="Arial"/>
                <w:sz w:val="14"/>
                <w:szCs w:val="14"/>
                <w:b w:val="1"/>
                <w:bCs w:val="1"/>
                <w:color w:val="auto"/>
                <w:w w:val="99"/>
              </w:rPr>
              <w:t>Mar 31,</w:t>
            </w:r>
          </w:p>
        </w:tc>
      </w:tr>
      <w:tr>
        <w:trPr>
          <w:trHeight w:val="189"/>
        </w:trPr>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r>
      <w:tr>
        <w:trPr>
          <w:trHeight w:val="74"/>
        </w:trPr>
        <w:tc>
          <w:tcPr>
            <w:tcW w:w="4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Bookings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16,112</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15,565</w:t>
            </w:r>
          </w:p>
        </w:tc>
        <w:tc>
          <w:tcPr>
            <w:tcW w:w="38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84"/>
              <w:spacing w:after="0"/>
              <w:rPr>
                <w:sz w:val="20"/>
                <w:szCs w:val="20"/>
                <w:color w:val="auto"/>
              </w:rPr>
            </w:pPr>
            <w:r>
              <w:rPr>
                <w:rFonts w:ascii="Arial" w:cs="Arial" w:eastAsia="Arial" w:hAnsi="Arial"/>
                <w:sz w:val="17"/>
                <w:szCs w:val="17"/>
                <w:color w:val="auto"/>
              </w:rPr>
              <w:t>12,487</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14,362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15,667</w:t>
            </w:r>
          </w:p>
        </w:tc>
      </w:tr>
      <w:tr>
        <w:trPr>
          <w:trHeight w:val="54"/>
        </w:trPr>
        <w:tc>
          <w:tcPr>
            <w:tcW w:w="4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Operating Income and Non-GAAP Net Income</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report our financial results in accordance with GAAP. However, our management believes that non-GAAP operating income and non-GAAP net income provide investors with additional useful information in evaluating our performance. These financial measures are not required by or presented in accordance with GAAP. We believe, however, that these non-GAAP financial measures, when taken together with our financial results presented in accordance with GAAP, provide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and provide a useful measure for period-to-period comparisons of our business performance.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define non-GAAP operating income (loss) as our GAAP operating income (loss) adjusted to exclude certain costs, including certain transaction-related costs, IPO preparation costs, acquisition-related litigation costs, stock-based compensation, amortization of acquired intangible assets, impairment charges, and executive severance costs. We define non-GAAP net income (loss) as our GAAP net income (loss) adjusted to exclude certain costs, including certain transaction-related costs, IPO preparation costs, acquisition-related litigation costs, stock-based compensation, amortization of acquired intangible assets, impairment charges, executive severance costs, change in fair value of contingent consideration, foreign exchange (gain) loss, gain on extinguishment of debt, and the income tax effect on non-GAAP items. We monitor non-GAAP operating income (loss) and non-GAAP net income (loss) as non-GAAP financial measures to supplement the financial information we present in accordance with GAAP to provide investors with additional information regarding our financial results.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Certain items are excluded from our non-GAAP operating income (loss) and non-GAAP net income (loss) because these items are non-cash in nature or are not indicative of our core operating performance and render comparisons with prior periods and competitors less meaningful. We adjust GAAP operating income (loss) and net income (loss) for these items to arrive at non-GAAP operating income (loss) and non-GAAP net income (loss) because these amounts can vary substantially from company to company within our industry depending upon accounting methods and book values of assets, capital structure and the method by which the assets were acquired. By excluding certain items that may not be indicative of our recurring core operating results, we believe that non-GAAP operating income (loss) and non-GAAP net income (loss) provide meaningful supplemental information regarding our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operating income to non-GAAP operating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5"/>
          </w:tcPr>
          <w:p>
            <w:pPr>
              <w:jc w:val="right"/>
              <w:ind w:right="397"/>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w:t>
            </w:r>
          </w:p>
        </w:tc>
      </w:tr>
      <w:tr>
        <w:trPr>
          <w:trHeight w:val="230"/>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Add:</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line="229" w:lineRule="exact"/>
              <w:rPr>
                <w:sz w:val="20"/>
                <w:szCs w:val="20"/>
                <w:color w:val="auto"/>
              </w:rPr>
            </w:pPr>
            <w:r>
              <w:rPr>
                <w:rFonts w:ascii="Arial" w:cs="Arial" w:eastAsia="Arial" w:hAnsi="Arial"/>
                <w:sz w:val="17"/>
                <w:szCs w:val="17"/>
                <w:color w:val="auto"/>
              </w:rPr>
              <w:t>Acquisition-related litigation costs</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30"/>
        </w:trPr>
        <w:tc>
          <w:tcPr>
            <w:tcW w:w="8140" w:type="dxa"/>
            <w:vAlign w:val="bottom"/>
          </w:tcPr>
          <w:p>
            <w:pPr>
              <w:ind w:left="140"/>
              <w:spacing w:after="0" w:line="229" w:lineRule="exact"/>
              <w:rPr>
                <w:sz w:val="20"/>
                <w:szCs w:val="20"/>
                <w:color w:val="auto"/>
              </w:rPr>
            </w:pPr>
            <w:r>
              <w:rPr>
                <w:rFonts w:ascii="Arial" w:cs="Arial" w:eastAsia="Arial" w:hAnsi="Arial"/>
                <w:sz w:val="17"/>
                <w:szCs w:val="17"/>
                <w:color w:val="auto"/>
              </w:rPr>
              <w:t>Amortization of acquired intangible assets</w:t>
            </w:r>
            <w:r>
              <w:rPr>
                <w:rFonts w:ascii="Arial" w:cs="Arial" w:eastAsia="Arial" w:hAnsi="Arial"/>
                <w:sz w:val="22"/>
                <w:szCs w:val="22"/>
                <w:color w:val="auto"/>
                <w:vertAlign w:val="superscript"/>
              </w:rPr>
              <w:t>(2)</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9"/>
        </w:trPr>
        <w:tc>
          <w:tcPr>
            <w:tcW w:w="8140" w:type="dxa"/>
            <w:vAlign w:val="bottom"/>
            <w:shd w:val="clear" w:color="auto" w:fill="CCEEFF"/>
          </w:tcPr>
          <w:p>
            <w:pPr>
              <w:ind w:left="140"/>
              <w:spacing w:after="0" w:line="229" w:lineRule="exact"/>
              <w:rPr>
                <w:sz w:val="20"/>
                <w:szCs w:val="20"/>
                <w:color w:val="auto"/>
              </w:rPr>
            </w:pPr>
            <w:r>
              <w:rPr>
                <w:rFonts w:ascii="Arial" w:cs="Arial" w:eastAsia="Arial" w:hAnsi="Arial"/>
                <w:sz w:val="17"/>
                <w:szCs w:val="17"/>
                <w:color w:val="auto"/>
              </w:rPr>
              <w:t>IPO preparation costs</w:t>
            </w:r>
            <w:r>
              <w:rPr>
                <w:rFonts w:ascii="Arial" w:cs="Arial" w:eastAsia="Arial" w:hAnsi="Arial"/>
                <w:sz w:val="22"/>
                <w:szCs w:val="22"/>
                <w:color w:val="auto"/>
                <w:vertAlign w:val="superscript"/>
              </w:rPr>
              <w:t>(3)</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3"/>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Non-GAAP operating income</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2,138</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to non-GAAP net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5"/>
          </w:tcPr>
          <w:p>
            <w:pPr>
              <w:jc w:val="right"/>
              <w:ind w:right="396"/>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30"/>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Add:</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4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Acquisition-related litigation costs</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30"/>
        </w:trPr>
        <w:tc>
          <w:tcPr>
            <w:tcW w:w="8140" w:type="dxa"/>
            <w:vAlign w:val="bottom"/>
          </w:tcPr>
          <w:p>
            <w:pPr>
              <w:ind w:left="240"/>
              <w:spacing w:after="0" w:line="229" w:lineRule="exact"/>
              <w:rPr>
                <w:sz w:val="20"/>
                <w:szCs w:val="20"/>
                <w:color w:val="auto"/>
              </w:rPr>
            </w:pPr>
            <w:r>
              <w:rPr>
                <w:rFonts w:ascii="Arial" w:cs="Arial" w:eastAsia="Arial" w:hAnsi="Arial"/>
                <w:sz w:val="17"/>
                <w:szCs w:val="17"/>
                <w:color w:val="auto"/>
              </w:rPr>
              <w:t>Amortization of acquired intangible assets</w:t>
            </w:r>
            <w:r>
              <w:rPr>
                <w:rFonts w:ascii="Arial" w:cs="Arial" w:eastAsia="Arial" w:hAnsi="Arial"/>
                <w:sz w:val="22"/>
                <w:szCs w:val="22"/>
                <w:color w:val="auto"/>
                <w:vertAlign w:val="superscript"/>
              </w:rPr>
              <w:t>(2)</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9"/>
        </w:trPr>
        <w:tc>
          <w:tcPr>
            <w:tcW w:w="814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IPO preparation costs</w:t>
            </w:r>
            <w:r>
              <w:rPr>
                <w:rFonts w:ascii="Arial" w:cs="Arial" w:eastAsia="Arial" w:hAnsi="Arial"/>
                <w:sz w:val="22"/>
                <w:szCs w:val="22"/>
                <w:color w:val="auto"/>
                <w:vertAlign w:val="superscript"/>
              </w:rPr>
              <w:t>(3)</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9"/>
        </w:trPr>
        <w:tc>
          <w:tcPr>
            <w:tcW w:w="8140" w:type="dxa"/>
            <w:vAlign w:val="bottom"/>
          </w:tcPr>
          <w:p>
            <w:pPr>
              <w:ind w:left="240"/>
              <w:spacing w:after="0" w:line="229" w:lineRule="exact"/>
              <w:rPr>
                <w:sz w:val="20"/>
                <w:szCs w:val="20"/>
                <w:color w:val="auto"/>
              </w:rPr>
            </w:pPr>
            <w:r>
              <w:rPr>
                <w:rFonts w:ascii="Arial" w:cs="Arial" w:eastAsia="Arial" w:hAnsi="Arial"/>
                <w:sz w:val="17"/>
                <w:szCs w:val="17"/>
                <w:color w:val="auto"/>
              </w:rPr>
              <w:t>Change in fair value of contingent consideration</w:t>
            </w:r>
            <w:r>
              <w:rPr>
                <w:rFonts w:ascii="Arial" w:cs="Arial" w:eastAsia="Arial" w:hAnsi="Arial"/>
                <w:sz w:val="22"/>
                <w:szCs w:val="22"/>
                <w:color w:val="auto"/>
                <w:vertAlign w:val="superscript"/>
              </w:rPr>
              <w:t>(4)</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276</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exchange loss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29"/>
        </w:trPr>
        <w:tc>
          <w:tcPr>
            <w:tcW w:w="8140" w:type="dxa"/>
            <w:vAlign w:val="bottom"/>
            <w:tcBorders>
              <w:bottom w:val="single" w:sz="8" w:color="CCEEFF"/>
            </w:tcBorders>
          </w:tcPr>
          <w:p>
            <w:pPr>
              <w:ind w:left="240"/>
              <w:spacing w:after="0" w:line="229" w:lineRule="exact"/>
              <w:rPr>
                <w:sz w:val="20"/>
                <w:szCs w:val="20"/>
                <w:color w:val="auto"/>
              </w:rPr>
            </w:pPr>
            <w:r>
              <w:rPr>
                <w:rFonts w:ascii="Arial" w:cs="Arial" w:eastAsia="Arial" w:hAnsi="Arial"/>
                <w:sz w:val="17"/>
                <w:szCs w:val="17"/>
                <w:color w:val="auto"/>
              </w:rPr>
              <w:t>Income tax effect of non-GAAP adjustments</w:t>
            </w:r>
            <w:r>
              <w:rPr>
                <w:rFonts w:ascii="Arial" w:cs="Arial" w:eastAsia="Arial" w:hAnsi="Arial"/>
                <w:sz w:val="22"/>
                <w:szCs w:val="22"/>
                <w:color w:val="auto"/>
                <w:vertAlign w:val="superscript"/>
              </w:rPr>
              <w:t>(5)</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Non-GAAP net income</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litigation-related expenses incurred in connection with our acquisitions.</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amortization of intangible assets attributable to our acquisitions.</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one-time costs including third-party professional services fees and costs incurred in connection with, and in preparation for, the IPO. Such costs do not include those costs that were considered direct and incremental to the IPO and therefore capitalized as deferred transaction costs.</w:t>
      </w: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change in fair value of contingent consideration recorded in connection with our acquisitions.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increase in income tax expenses due to non-GAAP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inception, we have financed operations primarily through proceeds received from payments from our customers and borrowings from Ms. Ngai-Pesic, including without limitation, the 2022 Credit Line. Our primary sources of liquidity are cash including cash generated from operations. As of March 31, 2024, we had $5.7 million in cash, of which $3.7 million was held by our foreign subsidiaries.</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13, 2022, we entered into the $4.0 million 2022 Credit Line with Ms. Ngai-Pesic bearing interest at a rate of prime plus 1% per annum. As of March 31, 2024, the principal balance of the 2022 Credit Line was $2.0 million. Subsequent to our IPO, on May 13, 2024, the 2022 Credit Line was repaid in full.</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December 2023, we entered into the East West Bank Loan which provides for borrowings of up to $5.0 million bearing interest at a per annum rate equal to one half of one percent (0.5%) above the greater of (i) the prime rate as reported in The Wall Street Journal or (ii) four and one half percent (4.5%). In addition, if any payment required of us under the East West Bank Loan is not made within ten (10) days after such payment is due, we are required to pay East West Bank a late fee equal to the lesser of (i) six (6%) of such unpaid amount or (ii) the maximum amount permitted to be charged under applicable law, not in any case to be less than $5.00. The outstanding balance on the East West Bank Loan as of March 31, 2024 was $4.3 million, and we were in compliance with all covenants. Subsequent to our IPO on May 13, 2024, the East West Bank Loan was repaid in full and terminated.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March 31, 2024, $3.0 million, or 52%, of our cash was maintained with one financial institution, where our current deposits are in excess of federally insured limits. Past macroeconomic conditions have resulted in the actual or perceived financial distress of many financial institutions, including the recent failures of Silicon Valley Bank, Signature Bank,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April 16, 2024, we entered into a note purchase agreement with Micron, which has been and is a customer of Silvaco, pursuant to which Silvaco issued to Micron a senior subordinated convertible promissory note in the principal amount of $5.0 million. The Micron Note was contractually subordinated to the East West Bank Loan through a subordination agreement with East West Bank but was senior to all of our other existing debt and was senior to any new future debt incurred (other than any undrawn amount available under the current East West Bank Loan) while it was outstanding. The Micron Note accrued interest at the rate of 8% annually, with principal and interest due upon maturity three years after the date of issuance. The Micron Note was mandatorily convertible into a number of shares equal to (i) the outstanding principal amount and accrued interest divided by (ii) a conversion price equal to (a) the price of Silvaco’s common stock issued in an initial public offering, times (b) 0.90 if the initial public offering of common stock was consummated on or prior to May 31, 2024; 0.85 if the initial public offering of common stock was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consummated between June 1, 2024 and April 16, 2025; and 0.80 if the initial public offering of common stock was consummated after April 16, 2025. On May 13, 2024, the Micron Note was converted into 294,217 shares of Silvaco’s common stock in connection with the consummation of our IPO. The shares issued pursuant to the Micron Note have been registered for resale under the Securities Act.</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May 13, 2024, we sold an aggregate of 6,000,000 shares of Common Stock in our IPO at a price to the public of $19.00 per share. The gross proceeds from the IPO were $114.0 million, with $106.0 million of net proceeds received by Silvaco after deducting underwriting discounts and commissions. Immediately upon the completion of the IPO, the 2022 Credit Line and the East West Bank Loan were repaid in full, and the East West Bank Loan was terminated.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our cash, the proceeds received in connection with our IPO, the $5.0 million received in connection with the Micron Note, and the remaining available short-term borrowing capacity under our 2022 Credit Line will be sufficient to meet our expected working capital needs, capital expenditures, financial commitments and other liquidity requirements associated with our existing operations for at least the next 12 months. We currently have no other committed sources of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r>
      <w:tr>
        <w:trPr>
          <w:trHeight w:val="193"/>
        </w:trPr>
        <w:tc>
          <w:tcPr>
            <w:tcW w:w="8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gridSpan w:val="3"/>
          </w:tcPr>
          <w:p>
            <w:pPr>
              <w:jc w:val="right"/>
              <w:ind w:right="539"/>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Cash provided by (used in):</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7"/>
                <w:szCs w:val="17"/>
                <w:color w:val="auto"/>
              </w:rPr>
              <w:t>Operating activities</w:t>
            </w:r>
          </w:p>
        </w:tc>
        <w:tc>
          <w:tcPr>
            <w:tcW w:w="920" w:type="dxa"/>
            <w:vAlign w:val="bottom"/>
          </w:tcPr>
          <w:p>
            <w:pPr>
              <w:jc w:val="right"/>
              <w:ind w:right="721"/>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(2,572)</w:t>
            </w:r>
          </w:p>
        </w:tc>
        <w:tc>
          <w:tcPr>
            <w:tcW w:w="100" w:type="dxa"/>
            <w:vAlign w:val="bottom"/>
          </w:tcPr>
          <w:p>
            <w:pPr>
              <w:spacing w:after="0"/>
              <w:rPr>
                <w:sz w:val="19"/>
                <w:szCs w:val="19"/>
                <w:color w:val="auto"/>
              </w:rPr>
            </w:pPr>
          </w:p>
        </w:tc>
        <w:tc>
          <w:tcPr>
            <w:tcW w:w="1040" w:type="dxa"/>
            <w:vAlign w:val="bottom"/>
          </w:tcPr>
          <w:p>
            <w:pPr>
              <w:jc w:val="right"/>
              <w:ind w:right="839"/>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501</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Investing activities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27"/>
        </w:trPr>
        <w:tc>
          <w:tcPr>
            <w:tcW w:w="8140" w:type="dxa"/>
            <w:vAlign w:val="bottom"/>
          </w:tcPr>
          <w:p>
            <w:pPr>
              <w:ind w:left="140"/>
              <w:spacing w:after="0"/>
              <w:rPr>
                <w:sz w:val="20"/>
                <w:szCs w:val="20"/>
                <w:color w:val="auto"/>
              </w:rPr>
            </w:pPr>
            <w:r>
              <w:rPr>
                <w:rFonts w:ascii="Arial" w:cs="Arial" w:eastAsia="Arial" w:hAnsi="Arial"/>
                <w:sz w:val="17"/>
                <w:szCs w:val="17"/>
                <w:color w:val="auto"/>
              </w:rPr>
              <w:t>Financing activities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3,873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(582)</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exchange rate changes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i w:val="1"/>
                <w:iCs w:val="1"/>
                <w:color w:val="auto"/>
              </w:rPr>
              <w:t>Net change in cash</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w:t>
            </w:r>
          </w:p>
        </w:tc>
      </w:tr>
      <w:tr>
        <w:trPr>
          <w:trHeight w:val="20"/>
        </w:trPr>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Net cash used by operating activities for the three months ended March 31, 2024 was $2.6 million compared to $0.5 million of net cash provided by operating activities for the three months ended March 31, 2023. The $3.1 million decrease in net cash provided by operating activities reflects a $3.5 million decline in net working capital driven by changes in contract assets and accounts receivable during the three months ended March 31, 2024 and a $0.3 million change in the fair value of contingent consideration, partially offset by a $0.6 million increase in our net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Net cash used for investing activities for the three months ended March 31, 2024 and 2023 reflects purchases of property and equipment of $10,000 and $0.2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Net cash provided by financing activities for three months ended March 31, 2024, was $3.9 million and reflects our $4.3 million drawdown on the East West Bank Loan, partially offset by the payment of $0.4 million of transaction costs incurred in connection with the IPO. Net cash used by financing activities for the three months ended March 31, 2023, was $0.6 million and reflects $0.6 million of contingent consideration paid in connection with our Nangate and PolytEDA acquisitions.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Exchange Rate Fluctuations on Cash</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exchange rate fluctuations on cash were $27,000 and $0.1 million at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Following the completion of the IPO, our financial commitments for contractual obligations include our operating lease commitments and contingent consideration. Refer to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white"/>
        </w:rPr>
        <w:t>4</w:t>
      </w:r>
      <w:r>
        <w:rPr>
          <w:rFonts w:ascii="Arial" w:cs="Arial" w:eastAsia="Arial" w:hAnsi="Arial"/>
          <w:sz w:val="17"/>
          <w:szCs w:val="17"/>
          <w:color w:val="auto"/>
          <w:highlight w:val="white"/>
        </w:rPr>
        <w:t>, Leases, and</w:t>
      </w:r>
      <w:r>
        <w:rPr>
          <w:rFonts w:ascii="Arial" w:cs="Arial" w:eastAsia="Arial" w:hAnsi="Arial"/>
          <w:sz w:val="17"/>
          <w:szCs w:val="17"/>
          <w:color w:val="auto"/>
        </w:rPr>
        <w:t xml:space="preserve"> </w:t>
      </w:r>
      <w:r>
        <w:rPr>
          <w:rFonts w:ascii="Arial" w:cs="Arial" w:eastAsia="Arial" w:hAnsi="Arial"/>
          <w:sz w:val="17"/>
          <w:szCs w:val="17"/>
          <w:u w:val="single" w:color="auto"/>
          <w:color w:val="0000FF"/>
          <w:highlight w:val="white"/>
        </w:rPr>
        <w:t>Note 12</w:t>
      </w:r>
      <w:r>
        <w:rPr>
          <w:rFonts w:ascii="Arial" w:cs="Arial" w:eastAsia="Arial" w:hAnsi="Arial"/>
          <w:sz w:val="17"/>
          <w:szCs w:val="17"/>
          <w:color w:val="auto"/>
          <w:highlight w:val="white"/>
        </w:rPr>
        <w:t>, Fair Value of Financial Instruments, for further discussion.</w:t>
      </w:r>
      <w:r>
        <w:rPr>
          <w:rFonts w:ascii="Arial" w:cs="Arial" w:eastAsia="Arial" w:hAnsi="Arial"/>
          <w:sz w:val="17"/>
          <w:szCs w:val="17"/>
          <w:color w:val="auto"/>
        </w:rPr>
        <w:t xml:space="preserve"> Subsequent to the IPO, on May 13, 2024, the 2022 Credit Line and the East West Bank Loan were repaid in full, and the East West Bank Loan was terminated.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have not been any material changes during the three months ended March 31, 2024 to the methodology applied by management for critical accounting policies previously disclosed in our audited financial statements set forth in our Registration Statement. For further discussion of our critical accounting policies and estimates, please refer to “Management’s Discussion and Analysis of Financial Condition and Results of Operations —Critical Accounting Policies and Estimates” in our Registration Statement.</w:t>
      </w:r>
    </w:p>
    <w:p>
      <w:pPr>
        <w:spacing w:after="0" w:line="200" w:lineRule="exact"/>
        <w:rPr>
          <w:sz w:val="20"/>
          <w:szCs w:val="20"/>
          <w:color w:val="auto"/>
        </w:rPr>
      </w:pPr>
    </w:p>
    <w:p>
      <w:pPr>
        <w:spacing w:after="0" w:line="252" w:lineRule="exact"/>
        <w:rPr>
          <w:sz w:val="20"/>
          <w:szCs w:val="20"/>
          <w:color w:val="auto"/>
        </w:rPr>
      </w:pPr>
    </w:p>
    <w:p>
      <w:pPr>
        <w:ind w:right="4240"/>
        <w:spacing w:after="0" w:line="315" w:lineRule="auto"/>
        <w:rPr>
          <w:sz w:val="20"/>
          <w:szCs w:val="20"/>
          <w:color w:val="auto"/>
        </w:rPr>
      </w:pPr>
      <w:r>
        <w:rPr>
          <w:rFonts w:ascii="Arial" w:cs="Arial" w:eastAsia="Arial" w:hAnsi="Arial"/>
          <w:sz w:val="18"/>
          <w:szCs w:val="18"/>
          <w:b w:val="1"/>
          <w:bCs w:val="1"/>
          <w:color w:val="auto"/>
        </w:rPr>
        <w:t xml:space="preserve">ITEM 3. QUALITATIVE AND QUANTITATIVE DISCLOSURES ABOUT MARKET RISK </w:t>
      </w:r>
      <w:r>
        <w:rPr>
          <w:rFonts w:ascii="Arial" w:cs="Arial" w:eastAsia="Arial" w:hAnsi="Arial"/>
          <w:sz w:val="18"/>
          <w:szCs w:val="18"/>
          <w:b w:val="1"/>
          <w:bCs w:val="1"/>
          <w:i w:val="1"/>
          <w:iCs w:val="1"/>
          <w:color w:val="auto"/>
        </w:rPr>
        <w:t>Interest Rate Risk</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had cash of $5.7 million as of March 31, 2024, which consisted of bank deposits. We do not enter into investments for trading or speculative purposes and have not used any derivative financial instruments to manage our interest rate risk exposure. On June 13, 2022, we entered into the 2022 Credit Line, bearing interest at a rate of prime plus 1% per annum. As of March 31, 2024, the balance of the 2022 Credit Line was $2.0 million. The interest rate paid on these borrowings is variable, indexed to the prime rate. In December 2023, we entered the East West Bank Loan which provides for borrowings of up to $5.0 million bearing interest at a per annum rate equal to one half of one percent (0.5%) above the greater of (i) the prime rate or (ii) four and one half percent (4.5%). As of March 31, 2024, the balance on the East West Bank Loan was $4.3 million, and we were in compliance with all covenants. A hypothetical 10% change in interest rates would not result in a material impact on our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effects of foreign exchange on net cash were $27,000 and $0.1 million for the three months ended March 31, 2024 and 2023, respectively. The change was primarily due to the strength of the U.S. dollar against the local currencies which we price and collect accounts receivable, primarily the Korean Won and the Japanese Yen, and convert to U.S. dollars to support our operations. If foreign currency exchange rates were to change adversely by 10% from the levels at March 31, 2024, the effect on our results before taxes from foreign currency fluctuations on our balance sheet would be approximately $0.2 million. The above analysis disregards the possibility that rates for different foreign currencies can move in opposite directions and that losses from one currency may be offset by gains from another currency. As our foreign currency risk increases in the future, we will evaluate alternative strategies, including hedging, to mitigate our foreign currency exposure.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not effective at the reasonable assurance level due a material weakness in connection with the preparation of our consolidated financial statements, related to a lack of formalized accounting processes over internal control over financial reporting (“ICFR”) and an insufficient complement of personnel possessing the technical accounting and financial reporting knowledge and experience to support a timely and accurate close and financial statement reporting process.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were no changes in our ICFR identified in connection with the evaluation required by Rule 13a-15(f)or 15d-15(f) of the Exchange Act during the period covered by this Quarterly Report, that materially affected, or are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effectiveness of any system of ICFR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we cannot assure that such improvements will be sufficient to provide us with effective ICFR.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From time to time, we may be subject to legal proceedings in the ordinary course of our business. We are not currently a party to any proceedings that we believe are estimable or will have, individually or in the aggregate, a material adverse effect on our business. Regardless of the outcome, litigation can have an adverse impact on us because of defense and settlement costs, diversion of management resources and other factors. For more information regarding our current legal proceedings, refer to note 11 of our unaudited condensed consolidated financial statements for the three months ended March 31, 2024 for further information.</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4"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face significant competition from larger companies as well as from third-party providers who may deploy their resources to develop IP solutions internally.</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engaged in a competitive segment of the global semiconductor and photonics industries. Our competitive landscape is characterized by competition from companies that have greater resources than us. A variety of factors could adversely impact our ability to compete, including rapid technological change in our software solution design, customers that make purchase decisions based on a mix of factors of varying importance and continuous declines in average selling prices of our software solutions. We compete principally on the basis of technology, license quality and features, license terms, compatibility, reliability, interoperability among products and price and payment terms.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compete against larger companies including Synopsys, Inc., or Synopsys, Coventor, Inc., a Lam Research company, Cadence Design Systems, Inc., or Cadence, Siemens EDA, Ansys, Inc., Arm Limited, and CEVA, Inc. Such companies have greater name recognition than us and possess substantial financial, technical, research and development and engineering resources that can be deployed so they can develop competing TCAD, EDA and SIP solutions. Varying combinations of these resources provide advantages to these competitors that enable them to influence industry trends and the pace at which industries adapt to these trends. A strong competitive response from one or more of our competitors to our marketplace efforts, or a shift in customer preferences to competitors’ products, could result in increased pressure to lower our prices more rapidly than anticipated, increased selling and marketing expense, and/or market share loss. The consolidation of our competitors or collaboration among our competitors to deliver more comprehensive offerings than they could prior to consolidation may also impact our ability to compete effectively. To the extent our revenue is negatively impacted by competitive pressures and reduced pricing, our business could be harmed.</w:t>
      </w:r>
    </w:p>
    <w:p>
      <w:pPr>
        <w:spacing w:after="0" w:line="14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addition, our ability to compete in our market is subject to a variety of factors, many of which are beyond our control. In particular, any of the below factors could significantly affect our ability to compete and could harm our business:</w:t>
      </w:r>
    </w:p>
    <w:p>
      <w:pPr>
        <w:spacing w:after="0" w:line="118" w:lineRule="exact"/>
        <w:rPr>
          <w:sz w:val="20"/>
          <w:szCs w:val="20"/>
          <w:color w:val="auto"/>
        </w:rPr>
      </w:pPr>
    </w:p>
    <w:p>
      <w:pPr>
        <w:ind w:left="660" w:hanging="328"/>
        <w:spacing w:after="0" w:line="25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anticipate and lead critical software solution development cycles and technological shifts as driven by our target markets, to innovate rapidly and efficiently and to improve our existing solutions;</w:t>
      </w:r>
    </w:p>
    <w:p>
      <w:pPr>
        <w:ind w:left="660" w:hanging="328"/>
        <w:spacing w:after="0" w:line="25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Decisions by semiconductor companies and/or OEMs to develop IP internally, rather than license IP from outside vendors due to strategic changes, enhanced internal capability, budget constraints or excess engineering capacity;</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and improve upon our current research and development collaboration agreements;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any competitor substantially increases its engineering and marketing resources to compete with our software solutions;</w:t>
      </w:r>
    </w:p>
    <w:p>
      <w:pPr>
        <w:spacing w:after="0" w:line="7" w:lineRule="exact"/>
        <w:rPr>
          <w:rFonts w:ascii="Arial" w:cs="Arial" w:eastAsia="Arial" w:hAnsi="Arial"/>
          <w:sz w:val="17"/>
          <w:szCs w:val="17"/>
          <w:color w:val="auto"/>
        </w:rPr>
      </w:pPr>
    </w:p>
    <w:p>
      <w:pPr>
        <w:ind w:left="660" w:hanging="328"/>
        <w:spacing w:after="0" w:line="252" w:lineRule="auto"/>
        <w:tabs>
          <w:tab w:leader="none" w:pos="66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challenges of developing, or acquiring externally developed, technology solutions that are adequate and competitive in meeting the rapidly evolving requirements of next-generation design challenges;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expand into established market segments;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compete on the basis of payment terms;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66" w:lineRule="auto"/>
        <w:tabs>
          <w:tab w:leader="none" w:pos="68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potential effects of geopolitical conflicts, such as the ongoing trade disputes between the United States and China and Russia’s invasion of Ukraine, including retaliatory and regulatory actions, on purchasing, development, sales and innovation responses and trends in response to such conflicts.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may also be unable to reduce the cost of our software solutions sufficiently to enable us to compete with our competitors or other third-party providers who may deploy their resources to develop IP solutions internally. Our cost reduction efforts may not allow us to keep pace with competitive pricing pressures and could adversely affect our gross margins. To the extent we are unable to reduce the prices of our software solutions and remain competitive, our revenue will likely decline, resulting in further pressure on our gross margins, which could harm our business.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majority of our software license revenue is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largely on bookings recorded during a quarter, and is difficult to predict. In addition, as we expand our business into new markets, our licensing contracts may be smaller in volume but greater in value, which may result in further fluctuations in our software license revenue quarter to quarter. Our ability to succeed in our licensing efforts will depend on a variety of factors, including the market positioning, performance, quality, breadth and depth of our current and future IP and solutions as well as our sales and marketing success. Our failure to obtain future licensing customers would impede our future revenue growth and could materially harm our business.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fluctuations may be caused by many other factors, including the timing of new software license releases or enhancements by us or our competitors, the license mix and timing of bookings and TBL renewals, software bugs or defects or other software solution quality problems, competition and pricing changes, customer booking or renewal deferrals in anticipation of new software solutions or enhancements, changes in demand for our software solutions, changes in operating expenses, changes in the mix of software license and maintenance and service revenue, timing of our collection of cash, personnel changes and general economic conditions.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 we and our customers are affected by general business and economic conditions in the United States and globally. These conditions include short-term and long-term interest rates, inflation, money supply, political issues, legislative and regulatory changes, including the imposition of new tariffs affecting our or our customers’ products and services, fluctuations in both debt and equity capital markets and broad trends in industry and finance, all of which are beyond our control. Any adverse changes in general domestic and global economic conditions that may occur in the future, including any recession, economic slowdown or disruption of credit markets, may lead to lower demand for products that incorporate our solutions. Macroeconomic conditions that affect the economy and the economic outlook of the United States and the rest of the world, including inflation and changes in currency valuations, could adversely affect us, our customers and vendors, which could have a material adverse effect on our business, financial condition and results of operations.</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As a result of these and other factors,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interim results of operations may be difficult to predict as a result of seasonality.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results of operations also have fluctuated significantly as a result of seasonality. For example, new year celebrations in certain countries in Asia, summer holidays in Europe and the United States, and winter holidays globally have, in the past, resulted in a slowdown in demand for our software solutions in affected locations. The impact of this cyclicality on our business is evident in lower bookings, including software license renewals and revenue in the second and third quarters of certain years as compared to first and fourth quarters of that year. The seasonality of our business is also affected by our customers’ research and development cycles. For example, our bookings generally increase when our customers’ increase their research and development spend on their next generation products, which we traditionally see occur in the first quarter and last quarter of each year in part due to our customers’ budgetary cycles. We may also be affected by additional seasonal trends in the future, particularly as our business continues to mature. Such seasonality may result from a number of factors, including a slowdown in our customers’ procurement process during certain times of the year, both domestically and internationally, and customers choosing to spend remaining budgets shortly before the end of their fiscal years. Seasonality has in the past caused,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and may cause in the future, fluctuations in our results of operations and financial metrics, and make forecasting our future results of operations and financial metrics more difficult.</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Substantial, prolonged economic downturns in key industrial sectors and in major economic regions in which we operate, including China, may result in reduced software solution sales and lower revenue growth.</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sales are based significantly on end user demand for our software solutions in the display, power devices, automotive, memory, HPC, IoT, and 5G/6G mobile markets. Many of these markets periodically experience economic declines. These economic declines may be exacerbated by other economic factors, such as the recent increase in global energy prices. These economic factors may adversely affect our business by extending sales cycles and reducing revenue.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customers supply semiconductor solutions to a wide spectrum of goods and services providers in all major economic regions. Our performance is materially impacted by general economic conditions and the performance of our customers. Our management team forecasts macroeconomic trends and developments and integrates them through long-range planning into budgets, research and development strategies and a wide variety of general management duties. To the extent that our forecasts are overly optimistic or overly pessimistic about the performance of an economy or sector, our performance may be hindered because of a failure to properly match corporate strategy with economic conditions.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Terrorist attacks, war and other increased global hostilities, including the ongoing conflicts between Russia and Ukraine and Israel and Hamas, pandemics, including the COVID-19 pandemic, and natural disasters have, at times, contributed to widespread uncertainty and speculation in the semiconductor markets. For example 62% and 51% of our revenue was derived from our customers in Asia for the three months ended March 31, 2024 and 2023, respectively.</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three months ended March 31, 2024 and 2023, 11% and 19% of our revenue was derived from our customers in China, respectively. China has been recently experiencing an economic slowdown, which, if continued, could adversely impact our revenue derived from China-based operations in future periods. Further, geopolitical disruptions among the United States and China could result in the suspension or delay of purchases of our software solutions by our customers in China, which could inhibit our ability to secure similar levels of revenue in the future from such customers or otherwise. See “—We face risks associated with doing business in China.” Similar uncertainties and speculation may result in further economic contraction, resulting in the suspension or delay of purchases of our software solutions by our customers, which could harm our business, financial condition and results of operations.</w:t>
      </w:r>
    </w:p>
    <w:p>
      <w:pPr>
        <w:spacing w:after="0" w:line="12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The success of our business depends on sustaining or growing our software license revenue and our maintenance and service revenue and the failure to increase such revenue would lead to a material decline in our results of operations.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revenue consists of software license fees and other fees and royalties paid for access to our technologies and other maintenance and services we provide to our customers. Our success at continuing to derive revenue from existing customers requires that we continue to service their needs adequately and provide them with solutions that drive value for them. Our ability to secure and renew the software licenses from which our revenue is derived depends on our customers adopting our solutions and may require us to incur significant expenditures and dedicate engineering resources to the development or enhancement of our software licenses without assurance that our solutions will be licensed. If we incur such expenditures and fail to secure revenue from such customers, our results of operations may be adversely affected. If we fail to grow our software license revenue, we are likely to consequently fail to grow our maintenance and service revenue, which would further adversely affect our results of operation. Further, because of the significant costs associated with qualifying new suppliers, customers are likely to use the same or an enhanced version of solution from existing suppliers across a number of similar and successor products for a lengthy period of time. As a result, if we fail to sell our solutions to any particular potential new customer, we may lose the opportunity to make future sales of those solutions to that potential customer for a significant period of time, or at all, and we may experience an associated decline in revenue relating to those products.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not be able to maintain or expand sales to our significant customers for a variety of reasons, and our customers can stop incorporating or using our solutions, decline to renew their agreements or terminate their agreements, often with limited notice to us and often with little or no penalty. The loss of any significant customers, a reduction in sales to any significant customers, a significant delay or negative development in our customers’ product development plans, or our inability to attract new significant customers or secure new significant design wins, could negatively impact our business.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and photonics industries may limit our ability to maintain or improve our revenue.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semiconductor and photonics industries are highly cyclical and are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and thus demand for our software solutions. We have experienced downturns in the past and may experience such downturns in the future. For example, the industry experienced a significant downturn in connection with the most recent global recession in 2008, and further experienced a downturn in 2020, as a result of the COVID-19 pandemic.</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downturns have been characterized by diminished product demand, production overcapacity, high inventory levels and accelerated erosion of average selling prices. Recently, downturns in the semiconductor and photonics industries have been attributed to a variety of factors, including the COVID-19 pandemic, ongoing trade disputes between the United States and China, weakness in demand and pricing for semiconductors across applications and shortages. Recent downturns have directly impacted our business, as has been the case with many other companies, suppliers, distributors and customers in the semiconductor and photonics industries and other industries around the world, and any prolonged or significant future downturns in the semiconductor and photonics industries could harm our business.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also depend on growth in the semiconductor and photonics industries and in the end markets that use our products. Any slowdown in the growth of these industries and end markets could harm our business.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growth of our TCAD, EDA and SIP markets are dependent on the semiconductor and photonics industries. A substantial portion of our business and revenue depends upon the commencement of new design projects by semiconductor manufacturers, systems companies and their customers. The increasing complexity of designs of or SoC, ICs, electronic systems and customers’ concerns about managing costs, have previously led to, and in the future could lead to, a decrease in design starts and design activity in general. For example, in response to this increasing complexity, some customers may choose to focus on one discrete phase of the design process or opt for less advanced, but less risky, manufacturing processes that may not require new or enhanced design solutions. Demand for our software solutions and services could decrease and our financial condition and results of operations could be adversely affected if growth in the semiconductor and photonics industries slows or stalls, including due to the impact of inflation or a sustained global supply chain disruption. Inflation has accelerated in the United States and globally as a result of global supply chain issues, a rise in energy prices, and strong consumer demand. An inflationary environment can increase our cost of labor, energy and other operating costs and could also impact and reduce the number of customers who purchase our software solutions as credit becomes more expensive or unavailable.</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Furthermore, many of our customers outsource the manufacturing of their semiconductor designs to foundries. Our customers also frequently incorporate third-party IP, whether provided by us or other vendors, into their designs to improve the efficiency of their design process. However, if we fail to optimize our EDA and SIP solutions for use with major foundries’ manufacturing processes or major IP providers’ products, or if our access to such foundry processes or third-party IP licenses is hampered, then our solutions may become less desirable to our customers, resulting in an adverse effect on our business and financial condition.</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continued success will also depend in large part on general economic growth and growth within our target markets including the display, power devices, automotive, memory, HPC, IoT, and 5G/6G mobile markets. Factors affecting these markets could seriously harm our customers and/or end customers and, as a result, harm us, examples of which include:</w:t>
      </w:r>
    </w:p>
    <w:p>
      <w:pPr>
        <w:spacing w:after="0" w:line="13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sales of our customers’ and/or end customers’ products;</w:t>
      </w:r>
    </w:p>
    <w:p>
      <w:pPr>
        <w:spacing w:after="0" w:line="29"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effects of catastrophic and other disruptive events at our customers’ and/or end customers’ offices or facilities;</w:t>
      </w:r>
    </w:p>
    <w:p>
      <w:pPr>
        <w:spacing w:after="0" w:line="14" w:lineRule="exact"/>
        <w:rPr>
          <w:rFonts w:ascii="Arial" w:cs="Arial" w:eastAsia="Arial" w:hAnsi="Arial"/>
          <w:sz w:val="17"/>
          <w:szCs w:val="17"/>
          <w:color w:val="auto"/>
        </w:rPr>
      </w:pPr>
    </w:p>
    <w:p>
      <w:pPr>
        <w:jc w:val="both"/>
        <w:ind w:left="660" w:hanging="328"/>
        <w:spacing w:after="0" w:line="248" w:lineRule="auto"/>
        <w:tabs>
          <w:tab w:leader="none" w:pos="669"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costs associated with potential disruptions to our customers’ and/or end customers’ supply chain and other manufacturing and production operations, including to ongoing supply chain issues caused by the current COVID-19 pandemic and similar disruptions that may occur in future;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deterioration of our customers’ and/or end customers’ financial condition;</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Delays and project cancellations as a result of design flaws in the products developed by our customers and/or end customers;</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dedicate the resources necessary to promote and commercialize their products;</w:t>
      </w:r>
    </w:p>
    <w:p>
      <w:pPr>
        <w:spacing w:after="0" w:line="14" w:lineRule="exact"/>
        <w:rPr>
          <w:rFonts w:ascii="Arial" w:cs="Arial" w:eastAsia="Arial" w:hAnsi="Arial"/>
          <w:sz w:val="17"/>
          <w:szCs w:val="17"/>
          <w:color w:val="auto"/>
        </w:rPr>
      </w:pPr>
    </w:p>
    <w:p>
      <w:pPr>
        <w:ind w:left="660" w:hanging="328"/>
        <w:spacing w:after="0" w:line="264" w:lineRule="auto"/>
        <w:tabs>
          <w:tab w:leader="none" w:pos="68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adapt to changing technological demands resulting in their products becoming obsolete;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200" w:firstLine="332"/>
        <w:spacing w:after="0" w:line="455" w:lineRule="auto"/>
        <w:tabs>
          <w:tab w:leader="none" w:pos="64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failure of our customers’ and/or end customers’ products to achieve market success and gain broad market acceptance. Any slowdown in the growth of these end markets could harm our business.</w:t>
      </w:r>
    </w:p>
    <w:p>
      <w:pPr>
        <w:spacing w:after="0" w:line="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If we are unable to deliver new and innovative software solutions or software license enhancements ahead of rapid technological changes in the market, our revenues could be materially adversely affected.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operate in an industry generally characterized by rapidly changing technology and frequent new product introductions that can render existing products obsolete or unmarketable. A major factor in our future success will be our ability to anticipate technological changes and to develop and introduce, in a timely manner, enhancements to our existing software solutions to meet those changes. If we are unable to introduce new software solutions and to respond quickly to industry changes, our business, financial condition, results of operations and cash flows could be materially adversely affected.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introduction and marketing of new or enhanced software solutions requires us to manage the transition from existing software licenses to minimize disruptions in customer purchasing patterns. There can be no assurance that we will be successful in developing and marketing, on a timely basis, new software solutions, or software license enhancements that our new software licenses will address the changing needs of the marketplace, or that we will successfully manage the transition from existing products. From time to time, we may agree to hold back certain of our software license enhancements for exclusive use of one or a small number of customers, which may limit our ability to timely adapt our broader software solutions range to meet technological innovation by our competitors or the needs of our other customers.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To contend with industry performance requirements and new applications, engineers, researchers, and other professionals rely extensively on TCAD and EDA software tools to design and optimize advanced IC components. Reliance on TCAD and EDA software tools has increased in recent years as design challenges have become increasingly complex, which influences our development cycle and consequently our performance and results of operations. Additionally, shrinking manufacturing process geometries, application specific customization to improve computing performance, and adoption of new materials for high voltage applications and photonics computing has led to a rapid increase in the complexity of SoCs. We currently devote substantial resources to the research and development of new and enhanced software solutions. However, we may be required to devote more resources than anticipated to address requirements for specific target markets, new competitors, technological advances in the semiconductor and photonics industries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software solutions that result in additional revenue.</w:t>
      </w:r>
    </w:p>
    <w:p>
      <w:pPr>
        <w:spacing w:after="0" w:line="130"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among our customers and within the industries in which we operate may negatively impact our operating results.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number of business combinations, including mergers, asset acquisitions and strategic partnerships, among our customers in the semiconductor and photonics industries have occurred over the last several years, and more could occur in the future. Consolidation among our customers could lead to fewer customers or the loss of customers, increased customer bargaining power or reduced customer spending on software and services. Consolidation among our customers could also reduce the demand for our software solutions and services if customers streamline research and development or operations, reduce purchases or delay purchasing decisions.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Reduced customer spending or the loss of a number of customers, particularly our large customers, could adversely affect our business, financial position and results of operations. In addition, we and our competitors from time to time acquire businesses and technologies to complement and expand our respective software solutions offerings. Consolidated competitors could have considerable financial resources, channel influence, and broad geographic reach, allowing them to engage in competition on the basis of software solution differentiation, pricing, marketing, services, support and more. If any of our competitors consolidate or acquire businesses and technologies that we do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not offer, they may be able to offer a larger technology portfolio, additional support and service capability or lower prices, which could negatively impact our business and results of operations.</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significant portion of our revenue comes from outside the United States. During the three months ended March 31, 2024 and 2023, 74% and 66%, respectively, of our revenue was from international customers. Risks inherent in our international business activities include imposition of government controls, export license requirements, restrictions on the export of critical technology, products and services,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patent, copyright and trade secret protection may not be available in every foreign country in which we sell our software solutions and services. Our business, financial condition, results of operations and cash flows could be materially adversely affected by any of these risks.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addition, we have offices globally with our sales and research and development being conducted in offices located in numerous geographical locations. Moreover, conducting business outside the United States subjects us to a number of additional risks and challenges, including:</w:t>
      </w:r>
    </w:p>
    <w:p>
      <w:pPr>
        <w:spacing w:after="0" w:line="11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regulatory or economic conditions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our offices and/or operations in countries or regions experiencing military, political or social instability;</w:t>
      </w:r>
    </w:p>
    <w:p>
      <w:pPr>
        <w:spacing w:after="0" w:line="13" w:lineRule="exact"/>
        <w:rPr>
          <w:rFonts w:ascii="Arial" w:cs="Arial" w:eastAsia="Arial" w:hAnsi="Arial"/>
          <w:sz w:val="17"/>
          <w:szCs w:val="17"/>
          <w:color w:val="auto"/>
        </w:rPr>
      </w:pPr>
    </w:p>
    <w:p>
      <w:pPr>
        <w:jc w:val="both"/>
        <w:ind w:left="660" w:hanging="328"/>
        <w:spacing w:after="0" w:line="253" w:lineRule="auto"/>
        <w:tabs>
          <w:tab w:leader="none" w:pos="669"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pandemic, epidemic or other outbreak of an infectious disease, including the current COVID-19 pandemic, which may cause us or our distributors, vendors and/or customers to temporarily or completely suspend our or their respective operations in the affected city or country;</w:t>
      </w:r>
    </w:p>
    <w:p>
      <w:pPr>
        <w:jc w:val="both"/>
        <w:ind w:left="660" w:hanging="328"/>
        <w:spacing w:after="0" w:line="252"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spacing w:after="0" w:line="2" w:lineRule="exact"/>
        <w:rPr>
          <w:rFonts w:ascii="Arial" w:cs="Arial" w:eastAsia="Arial" w:hAnsi="Arial"/>
          <w:sz w:val="17"/>
          <w:szCs w:val="17"/>
          <w:color w:val="auto"/>
        </w:rPr>
      </w:pPr>
    </w:p>
    <w:p>
      <w:pPr>
        <w:ind w:left="660" w:right="20" w:hanging="328"/>
        <w:spacing w:after="0" w:line="248" w:lineRule="auto"/>
        <w:tabs>
          <w:tab w:leader="none" w:pos="669" w:val="left"/>
        </w:tabs>
        <w:numPr>
          <w:ilvl w:val="0"/>
          <w:numId w:val="9"/>
        </w:numPr>
        <w:rPr>
          <w:rFonts w:ascii="Arial" w:cs="Arial" w:eastAsia="Arial" w:hAnsi="Arial"/>
          <w:sz w:val="17"/>
          <w:szCs w:val="17"/>
          <w:color w:val="auto"/>
        </w:rPr>
      </w:pPr>
      <w:r>
        <w:rPr>
          <w:rFonts w:ascii="Arial" w:cs="Arial" w:eastAsia="Arial" w:hAnsi="Arial"/>
          <w:sz w:val="17"/>
          <w:szCs w:val="17"/>
          <w:color w:val="auto"/>
        </w:rPr>
        <w:t>Unanticipated restrictions on our ability to sell to foreign customers where sales of software solutions and the provision of services may require export licenses or are prohibited by government action, unfavorable foreign exchange controls and currency exchange rates;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Imposition of tariffs and other barriers and restrictions, including trade tensions such as U.S.-China trade tensions;</w:t>
      </w:r>
    </w:p>
    <w:p>
      <w:pPr>
        <w:spacing w:after="0" w:line="7" w:lineRule="exact"/>
        <w:rPr>
          <w:rFonts w:ascii="Arial" w:cs="Arial" w:eastAsia="Arial" w:hAnsi="Arial"/>
          <w:sz w:val="17"/>
          <w:szCs w:val="17"/>
          <w:color w:val="auto"/>
        </w:rPr>
      </w:pPr>
    </w:p>
    <w:p>
      <w:pPr>
        <w:jc w:val="both"/>
        <w:ind w:left="660" w:hanging="328"/>
        <w:spacing w:after="0" w:line="254" w:lineRule="auto"/>
        <w:tabs>
          <w:tab w:leader="none" w:pos="682"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for substantial penalties and litigation related to violations of a wide variety of laws, treaties and regulations, including labor regulations, export control, sanctions and anti-corruption regulations (including the U.S. Foreign Corrupt Practices Act of 1977, as amended, and the U.K. Bribery Act);</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 across different geographic areas, time zones and cultures;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diplomatic and trade relationships.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political, legal and economic instability, armed conflict, and civil unrest in the countries in which we and our customers are located;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and costs of maintaining effective data security;</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Inadequate protection of our IP;</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Nationalization and expropriation;</w:t>
      </w:r>
    </w:p>
    <w:p>
      <w:pPr>
        <w:spacing w:after="0" w:line="7" w:lineRule="exact"/>
        <w:rPr>
          <w:rFonts w:ascii="Arial" w:cs="Arial" w:eastAsia="Arial" w:hAnsi="Arial"/>
          <w:sz w:val="17"/>
          <w:szCs w:val="17"/>
          <w:color w:val="auto"/>
        </w:rPr>
      </w:pPr>
    </w:p>
    <w:p>
      <w:pPr>
        <w:ind w:left="660" w:hanging="328"/>
        <w:spacing w:after="0" w:line="248" w:lineRule="auto"/>
        <w:tabs>
          <w:tab w:leader="none" w:pos="696"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Restrictions on the transfer of funds to and from foreign countries, including withholding taxes and other potentially negative tax consequences;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Unfavorable and/or changing foreign tax treaties and policies;</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exposure to general market and economic conditions outside of the United States; and</w:t>
      </w:r>
    </w:p>
    <w:p>
      <w:pPr>
        <w:spacing w:after="0" w:line="14" w:lineRule="exact"/>
        <w:rPr>
          <w:rFonts w:ascii="Arial" w:cs="Arial" w:eastAsia="Arial" w:hAnsi="Arial"/>
          <w:sz w:val="17"/>
          <w:szCs w:val="17"/>
          <w:color w:val="auto"/>
        </w:rPr>
      </w:pPr>
    </w:p>
    <w:p>
      <w:pPr>
        <w:ind w:left="660" w:right="20" w:hanging="328"/>
        <w:spacing w:after="0" w:line="264"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choose to do so in the future.</w:t>
      </w:r>
    </w:p>
    <w:p>
      <w:pPr>
        <w:spacing w:after="0" w:line="13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face increased regulatory uncertainties with respect to our China-based operations, including our wholly foreign-owned enterprise operating in China, any joint ventures we may form or contribute IP or other resources to in the future and sales to China-based customers.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three months ended March 31, 2024 and 2023, 11% and 19% of our revenue, respectively, was derived from our customers in China. Our operating expenses in China were $0.7 million, and $0.4 million, respectively, for the three months ended March 31, 2024 and 2023.</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June 3, 2021, President Biden issued Executive Order 14032 (Addressing the Threat from Securities Investments that Finance Certain Companies of the People’s Republic of China) targeting entities that are deemed part of the Chinese military-industrial complex. Additionally, on October 7, 2022, the Bureau of Industry and Security of the U.S. Department of Commerce, or BIS,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which may impact our ability to license or support our software solutions to entities in or doing business with certain advanced AI or “supercomputer” design companies, foundries and manufacturers of assemblies and components in China. In addition, in October 2023 the BIS tightened restrictions and compliance burdens on the transfer to China of certain advanced artificial intelligence chips, semiconductors and supercomputing items, software and technology subject to U.S. export controls, in addition to restricting sales to certain semiconductor fab facilities in China. Moreover, restrictions were implemented on U.S. persons’ activities in support of the transfer of certain items not subject to U.S. export controls. The extraordinary complexity of these rules, combined with the likelihood of further amendments from BIS, significantly increases our risk of non-compliance, which could result in fines and other penalties, and could change how these rules impact us. While we continue to adjust our policies and practices to ensure compliance with these regulations, and we will seek to mitigate their impact, there can be no assurances that current or future regulations and tariffs will not have a material adverse effect on our business. We maintain policies and procedures reasonably designed to ensure compliance with applicable trade control requirements, laws, and restrictions, including prohibiting the export, re-export or transfer of technology to companies on the Entity List maintained by BIS or other governmental restricted party lists, as well as prohibiting the sale of our products in certain countries. However, due to our global operations, we cannot ensure that our policies and procedures, including related safeguards, will effectively prevent violations, including the unauthorized diversion of products to countries or persons that are the target of U.S. sanctions; the export, re-export, or transfer of technology to companies on BIS’s Entity List or other governmental restricted party lists; failure to comply with rules related to import and export of products; appropriate import product classifications; or other trade accounting requirements, laws, and restrictions.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August 9, 2023, President Biden issued an executive order addressing investments by U.S. persons in companies located in designated countries of concern, currently, China (including Hong Kong and Macau) that engage with certain categories of sensitive technology and products, including semiconductors and microelectronics, quantum information technologies and AI. The executive order requires regulations that would implement limits and potential notification requirements on such investments and was accompanied by an advance notice of proposed rule-making that outlines the intended scope of the program and solicits input from the public regarding the implementation of the executive order. There are no currently effective restrictions or notification requirements; further rule-making is needed to implement the executive order. While we believe it is possible that such regulations may impact our customers, our suppliers, or our business with respect to China, given the uncertainties with respect to the timing and ultimate requirements of these regulations, we are unable to assess the extent of any such impact.</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Further U.S. government escalation of restrictions related to China and increased restrictions on Chinese exports may lead to regulatory retaliation by the Chinese government and possibly further escalate geopolitical tensions, and any such scenarios may adversely impact our business. Furthermore, we may, in the future, develop or sell software solutions that are subject to such rules and restrictions. In addition, such export control rules may change or be expanded or interpreted to include the sale of our current software solutions. In addition, geopolitical disruptions among the United States and China could cause general market disruptions and subject our sales efforts in China to licensing restrictions in the future. The prospect of future export controls that are implemented in a similar manner may continue to have an ongoing impact on our business, results of operations or financial conditions. To the extent we are unable to license our software solutions or support to customers in China, our business, including our revenues and our prospects, would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Downturns or volatility in general economic conditions could harm our business.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revenue, gross margin, and ability to achieve and maintain profitability depend significantly on general economic conditions and the demand for software solutions in the markets in which our customers compete. Weaknesses in the global economy and financial markets and any adverse changes in general domestic and global economic conditions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that may occur in the future, including any recession, economic slowdown or disruption of credit markets, may lead to, lower demand for products that incorporate our solutions.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we have grown, we have become increasingly subject to the risks arising from adverse changes in domestic and global economic conditions. As a result of the current economic slowdown, many companies are delaying or reducing technology purchases, which has had an impact on our visibility into the closing of new business, as opposed to our recurring business. This slowdown has also contributed to, and may continue to contribute to, reductions in sales, longer sales cycles, and increased price pressures, which could adversely affect our business, financial condition, and results of operations.</w:t>
      </w:r>
    </w:p>
    <w:p>
      <w:pPr>
        <w:spacing w:after="0" w:line="14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financial condition, results of operations and cash flow.</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customers may fail to pay us in accordance with the terms of their agreements.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our customers fail to pay us in accordance with the terms of our agreements, we may be adversely affected both from the inability to collect amounts due and the cost of enforcing the terms of our agreements, including litigation and arbitration costs. The risk of these issues increases with the term length of our customer arrangements. Furthermore, some of our customers may seek bankruptcy protection or other similar relief and fail to pay amounts due to us, which we have experienced in the past, or may pay those amounts more slowly, either of which could adversely affect our results of operations, financial condition and cash flow.</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operations could be disrupted by geopolitical conditions, trade disputes, international boycotts and sanctions, political and social instability, acts of war, terrorist activity or other similar events, which could adversely affect our business, financial condition, and results of operations.</w:t>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we operate on a global basis, our operations could also be disrupted by geopolitical conditions, trade disputes, international boycotts and sanctions, political and social instability, acts of war, terrorist activity or other similar events.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example, in October 2023, following a series of attacks by Hamas on Israeli civilian and military targets, Israel declared war on Hamas in Gaza. While we do not currently consider the conflict between Israel and Hamas to have had a material impact on our business, the ongoing Israel-Hamas conflict could have a negative impact on the economy and business activity globally, and therefore could adversely affect our results of operations, financial condition and cash flow.</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in February 2022, Russia initiated significant military action against Ukraine. In response, the United States and certain other countries imposed significant sanctions and export controls against Russia, Belarus and certain individuals and entities connected to Russian or Belarusian political, business and financial organizations, and the United States and certain other countries could impose further sanctions, trade restrictions, and other retaliatory actions should the conflict continue or worsen.</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board of directors is responsible for overseeing the risks to our business, including risks related to the ongoing conflict between Israel and Hamas and between Russia and Ukraine. Such risks include an increased risk of cybersecurity attacks, sanctions, risks related to our employees, service-providers and operations in the affected regions and supply chain disruptions that may affect our customers globally. During 2023, we generated $0.6 million in revenues from the Middle East, including Israel, and had one employee located in the Middle East. While none of our revenue is derived from Russia or Ukraine, we have employees based in both countries and had, prior to the beginning of the conflict, offices in both countries. In response to the ongoing conflict, we recently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March 31, 2024, we had 3 employees Russia and 6 employees and 6 contractors in Ukraine, all of which were working remotely. If our employees in Russia or Ukraine become subject to a military draft or are unable to work due to the ongoing conflict, the development of our next generation software could be delayed, which could negatively impact our business.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taken security measures designed to help protect against cyber-attacks, security breaches and impermissible downloads in Russia and Ukraine. To the extent that our security measures do not timely detect or prevent such cyber-attacks, security breaches or impermissible downloads, we may be subject to a number of risks, including those risks discussed below in “—Risks Related to Intellectual Property, Information Technology and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Privacy and Security—If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It is not possible to predict the broader consequences of either Hamas’ invasion of Israel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 substantial portion of our revenue comes from our international sales channels, and we have significant operations in numerous international geographies. As such, any adverse fluctuations in exchange rates could adversely affect our performance.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three months ended March 31, 2024 and 2023, 74% and 66%, respectively, of our revenue was from international customers. We expect to continue to generate a significant amount of revenue through international sales in the future. Our international sales team sells our software solutions to new and existing customers, expands installations within the existing customer base, offers consulting services and provides the first line of technical support. The revenues and expenses associated with our international direct sales channels are subject to foreign currency exchange fluctuations, including the potential of a stronger American dollar which has the potential of impacting our ability to compete internationally, and, as a result, our future financial results may be impacted by fluctuations in exchange rates, including Korean Won, Chinese Yuan, and Japanese Yen.</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currently do not hedge any of our foreign currency exposure. However, our financial strategies may include hedging practices aimed at mitigating risks associated with foreign exchange fluctuations. However, if our hedging strategies are not executed accurately or if market conditions evolve unpredictably, it could result in significant financial misjudgments. This misalignment in our hedging approach could adversely impact our financial performance.</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ability to increase our customer base and achieve broader market acceptance of our software solutions will depend to a significant extent on our ability to expand our international sales force. We plan to continue expanding our sales force, both domestically and internationally. We also plan to dedicate significant resources to our sales and marketing programs. All of these efforts will require us to invest significant financial and other resources. Our business will be harmed if our sales and marketing efforts do not generate significant increases in revenue or if the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 the occurrence of which could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additional capital in the future may be limited and could prevent us from executing our growth strategy.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the availability of borrowings under our outstanding loans, line of credit and future debt, equity or other applicable financing arrangements. We believe that our cash flow from operations, existing cash, availability under our existing credit line and bank loans, and the anticipated net proceeds of the IPO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 acceptance of our SIP and other solutions, and our IP deployment solutions;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33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could adversely affect our liquidity, financial condition and results of operations, either directly or through adverse impacts on certain of our vendors and customers.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Although we are not a borrower or party to any such instruments with SVB, Signature Bank or any other financial institution currently in receivership, if any of the banks which hold our cash deposits were to be placed into receivership, we may be unable to access such funds. As of March 31, 2024, $3.0 million, or 52%, of our cash was maintained with one financial institution, where our current deposits are in excess of federally insured limits.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bugs or defects could expose us to liability and harm our reputation and we could lose market share.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Software products frequently contain bugs or defects, especially when first introduced, when new versions are released, or when integrated with technologies developed by acquired companies, and the likelihood of bugs or defects may increase for our business if we accelerate the frequency of its product releases. Customers have in the past identified bugs or defects in our products, and there can be no assurance that bugs or defects will not be found in the future in new or enhanced products after commencement of commercial shipments. Product bugs or defects, including those resulting from third-party licensors, have in the past and may in the future affect the performance or interoperability of our products, could delay the development or release of new products or new versions of products and could adversely affect market acceptance or perception of our products. We are currently in receipt of a request from a customer for compensation as a result of alleged product bugs or defects, and there can be no assurance that we will resolve this matter, or any similar future complaint, in a manner that preserves the customer relationship and does not otherwise adversely affect our business or operating results. In addition, any allegations of manufacturability issues resulting from use of our IP products could, even if untrue, adversely affect our reputation and our customers’ willingness to license IP products from us. Any such bugs or defects or delays in releasing new products or new versions of products or allegations of unsatisfactory performance could cause us to lose customers, increase our service costs, result in diversion of resources, damage to our reputation and subject us to liability for damages, any one of which could materially and adversely affect our business and operating results.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employees, consultants and third-party providers have in the past and may in the future engage in misconduct that materially adversely affects us.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employees, consultants and third-party providers have in the past and may in the future engage in misconduct that materially and adversely affects us. For example, a former employee in China impermissibly used our computers and software to write and configure software for other companies. Misconduct by these parties could include intentional failures to comply with the applicable laws and regulations in the United States and abroad, report financial information or data accurately, violate our internal security policies or duties of confidentiality or disclose unauthorized activities to us. Such misconduct could result in loss of proprietary information or trade secrets, legal or regulatory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sanctions, loss of important business information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third-party providers were to engage in or be accused of misconduct, we could be exposed to legal liability, incur substantial costs, loss of proprietary information, our business and reputation could be materially adversely affected, and we could fail to retain key employees.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use certain third-party services to manage and operate our business, and any failure or interruption in the services provided by these third parties could adversely affect our business, financial condition and results of operations.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use a number of third-party services to manage and operate our business, including software to assist our sales and marketing teams and our finance and accounting teams. These services are critical to our ability to increase our sales to customers, operate, and maintain our platform, and accurately maintain books and records. Any disruption in these services could impair our ability to execute on our operating plan and disrupt our business. Further, if these services cease to be available to us on commercially reasonable terms, or at all, we may be required to use additional or alternative services, or to develop additional capabilities within our business, any of which could require significant resources and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Periodic reorganizations and adjustments to our sales force could temporarily impact productivity and adversely disrupt our sales.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rely heavily on our direct sales force. From time to time, we reorganize and make adjustments to our sales force in response to such factors as management changes, performance issues, market opportunities and other considerations. These changes may result in a temporary lack of sales production and may adversely impact revenue in future quarters. There can be no assurance that we will not restructure our sales force in future periods or that the transition issues associated with such a restructuring will not recur.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Variations in actual sales activity from sales forecasts could adversely affect our business, financial condition and results of operations.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not realize the anticipated benefits of our acquisitions or investments, our business could be disrupted because of acquisitions or investments and, depending on how we finance such acquisitions or investments, we could use significant amounts of cash.</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success depends in part on our ability to continually enhance and broaden our software solutions offerings in order to support our long-term strategic direction, strengthen our competitive position, expand our customer base, provide greater scale to increase our investments in research and development to accelerate innovation, provide increased capabilities to our existing software solutions, supply new software solutions and services, and enhance our distribution channels. Accordingly, our success depends in part on our ability to identify, complete and integrate acquisitions. Over the past several years, we have completed ten such acquisitions of companies or strategic assets, and in the future, from time to time we will likely seek to acquire or invest in businesses, products, or technologies. Any acquisition, investment or business relationship may result in unforeseen operating difficulties and expenditures, as we have experienced historically.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software solutions or we have difficulty retaining the customers of any acquired business due to changes in ownership, management or otherwise.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successfully integrate previously acquired businesses and technologies or those acquired in the future, which could adversely impact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investments involve numerous risks, including:</w:t>
      </w:r>
    </w:p>
    <w:p>
      <w:pPr>
        <w:spacing w:after="0" w:line="18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inability to complete the acquisition or investment on commercially acceptable terms;</w:t>
      </w:r>
    </w:p>
    <w:p>
      <w:pPr>
        <w:spacing w:after="0" w:line="34" w:lineRule="exact"/>
        <w:rPr>
          <w:rFonts w:ascii="Arial" w:cs="Arial" w:eastAsia="Arial" w:hAnsi="Arial"/>
          <w:sz w:val="17"/>
          <w:szCs w:val="17"/>
          <w:color w:val="auto"/>
        </w:rPr>
      </w:pPr>
    </w:p>
    <w:p>
      <w:pPr>
        <w:ind w:left="660" w:hanging="328"/>
        <w:spacing w:after="0" w:line="273" w:lineRule="auto"/>
        <w:tabs>
          <w:tab w:leader="none" w:pos="68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inability to obtain timely approvals from governmental authorities under competition and antitrust laws and the resulting delay in consummating the acquisition;</w:t>
      </w:r>
    </w:p>
    <w:p>
      <w:pPr>
        <w:ind w:left="660" w:hanging="328"/>
        <w:spacing w:after="0" w:line="273"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risk that we may have difficulty incorporating the acquired technologies or products with our existing software solutions and maintaining uniform standards, controls, procedures, and policies;</w:t>
      </w:r>
    </w:p>
    <w:p>
      <w:pPr>
        <w:jc w:val="both"/>
        <w:ind w:left="660" w:hanging="328"/>
        <w:spacing w:after="0" w:line="270" w:lineRule="auto"/>
        <w:tabs>
          <w:tab w:leader="none" w:pos="6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spacing w:after="0" w:line="1" w:lineRule="exact"/>
        <w:rPr>
          <w:rFonts w:ascii="Arial" w:cs="Arial" w:eastAsia="Arial" w:hAnsi="Arial"/>
          <w:sz w:val="17"/>
          <w:szCs w:val="17"/>
          <w:color w:val="auto"/>
        </w:rPr>
      </w:pPr>
    </w:p>
    <w:p>
      <w:pPr>
        <w:ind w:left="660" w:hanging="328"/>
        <w:spacing w:after="0" w:line="273" w:lineRule="auto"/>
        <w:tabs>
          <w:tab w:leader="none" w:pos="6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unforeseen difficulties in legal entity merger integration activities that may result in legal and tax exposures or the loss of anticipated tax benefits;</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disruption of our ongoing businesses and diversion of management attention;</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risk that our relationships with current and new employees, customers, partners and distributors could be impaired;</w:t>
      </w:r>
    </w:p>
    <w:p>
      <w:pPr>
        <w:spacing w:after="0" w:line="34" w:lineRule="exact"/>
        <w:rPr>
          <w:rFonts w:ascii="Arial" w:cs="Arial" w:eastAsia="Arial" w:hAnsi="Arial"/>
          <w:sz w:val="17"/>
          <w:szCs w:val="17"/>
          <w:color w:val="auto"/>
        </w:rPr>
      </w:pPr>
    </w:p>
    <w:p>
      <w:pPr>
        <w:ind w:left="660" w:right="20" w:hanging="328"/>
        <w:spacing w:after="0" w:line="273" w:lineRule="auto"/>
        <w:tabs>
          <w:tab w:leader="none" w:pos="682"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integrating the acquired entities, products or technologies and overcoming any unforeseen technical problems with the acquired products or technologies;</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operating the acquired business profitably;</w:t>
      </w:r>
    </w:p>
    <w:p>
      <w:pPr>
        <w:spacing w:after="0" w:line="47" w:lineRule="exact"/>
        <w:rPr>
          <w:rFonts w:ascii="Arial" w:cs="Arial" w:eastAsia="Arial" w:hAnsi="Arial"/>
          <w:sz w:val="17"/>
          <w:szCs w:val="17"/>
          <w:color w:val="auto"/>
        </w:rPr>
      </w:pPr>
    </w:p>
    <w:p>
      <w:pPr>
        <w:ind w:left="660" w:hanging="328"/>
        <w:spacing w:after="0" w:line="273" w:lineRule="auto"/>
        <w:tabs>
          <w:tab w:leader="none" w:pos="709"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preserving and transitioning important licensing, research and development, and customer, distributor and supplier relationships;</w:t>
      </w:r>
    </w:p>
    <w:p>
      <w:pPr>
        <w:ind w:left="660" w:hanging="328"/>
        <w:spacing w:after="0" w:line="273"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implementing the appropriate controls and procedures to ensure the acquired entity is in compliance with the Sarbanes-Oxley Act;</w:t>
      </w:r>
    </w:p>
    <w:p>
      <w:pPr>
        <w:ind w:left="660" w:right="20" w:hanging="328"/>
        <w:spacing w:after="0" w:line="273"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risk that the acquisition may result in increased litigation or contingencies, including as described in –“Pending or future investigations or litigation could have a material adverse effect on our results of operations and our stock price” below;</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risks associated with entering lines of business or geographies in which we have no or limited prior experience;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unanticipated costs, expenses 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future acquisitions or investments may result in:</w:t>
      </w:r>
    </w:p>
    <w:p>
      <w:pPr>
        <w:spacing w:after="0" w:line="18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issuances of dilutive equity securities, which may be at a discount to market price;</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use of significant amounts of cash;</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incurrence of debt;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assumption of significant liabilities;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unfavorable financing terms;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large one-time expenses;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creation of certain intangible assets, including goodwill, the write-down of which may result in significant charges to earnings.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Any of these factors could have a material adverse effect on our business, financial condition and results of operations.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we lose the services of our senior executives or key technical personnel who possess specialized industry knowledge and technical skills, or are unable to hire additional key personnel, it could reduce our ability to compete, to manage our operations effectively, or to develop new software solutions and services.</w:t>
      </w:r>
    </w:p>
    <w:p>
      <w:pPr>
        <w:spacing w:after="0" w:line="10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to recruit and retain key employees could harm our business, results of operations and financial condition. Additionally, efforts to recruit and retain qualified employees could be costly and negatively impact our operating expenses.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Historically we have issued equity awards as a key component of our overall compensation. If we are unable to grant attractive equity-based packages in the future, it could limit our ability to attract and retain key employees.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continue to grow and to meet our ongoing obligations as a public company, we must continue to expand our operational, engineering, accounting and financial systems, procedures, controls, personnel and other internal management systems. We must also expand our reporting and compliance infrastructure to ensure that relevant information is shared with and among management and our board of directors, including with respect to actual or alleged wrongdoing within our Company. We have in the past experienced inadequate reporting and communication regarding wrongdoing, which resulted in delays and inefficiencies in taking appropriate action. Such expansions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or may face additional failures with respect to our reporting and compliance infrastructure.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improve our reporting and compliance infrastructure or effectively motivate and manage our new and future employees, it could harm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COVID-19 pandemic affected our business and operations.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COVID-19 pandemic and efforts to control its spread significantly curtailed the movement of people, goods, and services worldwide. In light of the uncertain situation relating to the spread of COVID-19, we took precautionary measures intended to minimize the risk of the virus to our employees, our customers, and the communities in which we operate. These measures included modifications to employee travel policies, office closures when and as employees are advised to work from home, and other similar measures, some of which are still in place.</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COVID-19 pandemic has had, and may continue to have, adverse effects on economies and financial markets globally, leading to an economic downturn, which may decrease technology spending generally and could adversely affect demand for our services. It is not possible at this time to estimate the full impact that COVID-19 will have on our business, as the impact will depend on future developments, the emergence of additional strains and subsequent effects of the repercussions, which are highly uncertain and cannot be predicted.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the extent the COVID-19 pandemic adversely affects our business, financial condition and results of operations, it may also have the effect of heightening many of the other risks described in this “Risk Factors” section, including but not limited to, those related to our ability to increase sales to existing and new customers due to shifting demand, our performance in international markets, our ability to continue to perform on existing contracts, develop and deploy new technologies and expand our marketing capabilities and sales organization.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estimates of market opportunity and forecasts of market growth may prove to be inaccurate.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Market opportunity estimates and growth forecasts whether obtained from third-party sources or developed internally, are subject to significant uncertainty and are based on assumptions and estimates that may prove to be inaccurate. The estimates and forecasts included in this prospectus relating to the size and expected growth of the target market and market demand may also prove to be inaccurate. For example, the Electronic System Design Alliance’s EDA market data may be inaccurate or incomplete. Further, Grand View Research's estimations for the size of the 2022 and 2030 global EDA market and the growth thereof are based on assumptions, including as to the future growth of the integrated circuits and electronic manufacturing markets, and the continued advancement of technology in those industries that may prove to be inaccurate or incorrect. In addition, the estimated global EDA market may not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materialize in the timeframe we expect, if ever, and even if the markets meet the estimates presented in this prospectus,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Privacy and Security</w:t>
      </w:r>
    </w:p>
    <w:p>
      <w:pPr>
        <w:spacing w:after="0" w:line="11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seek to protect our proprietary technology and innovations, particularly those relating to our software solutions, through patents, trade secrets and other intellectual property rights. Maintenance of our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Additionally, it is difficult and costly to monitor the use of our intellectual property. It may be the case that our intellectual property is already being infringed and infringement may occur in the future without our knowledge. Litigation may be necessary to enforce our intellectual property rights. Additionally, defending our intellectual property rights might necessitate significant financial and legal resources. Any such expenditure could negatively impact our financial performance.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it is our policy to protect and defend our rights to our intellectual property,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generally control access to and use of our confidential information and trade secrets using internal and external controls, including contractual protections with employees, contractors, and customers. We rely in part on the laws of the United States and international laws to protect our trade secrets.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 We currently have no trademark registrations or pending applications to register trademarks in foreign countries. Further, intellectual property law, including statutory and case law, particularly in the United States, is constantly developing, and any changes in the law could make it harder for us to enforce our rights.</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predominantly developed our proprietary technology and other intellectual property internally, through development by our employees and independent contractors and externally, including through our research institution partners and their students. Our development has taken place globally, including the United States, Brazil, Europe,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Middle East and India. We attempt to protect our intellectual property, technology, and confidential information by requiring our employees, consultants, contractors and developer partners who develop intellectual property on our behalf to enter into confidentiality and invention assignment agreements. However, these agreements may not have been properly entered into on every occasion with the applicable counterparty, and such agreements may not always have been effective when entered into in granting ownership of, controlling access to and distribution of our proprietary information or technology. Certain state laws may require that we provide certain notices with respect to the assignment of particular inventions in such agreements, and we may not have been able to include such specific notice requirements in every occasion that it required. Further, if we failed to enter into one of these agreements, or if the assignment language is found to be insufficient under applicable laws, it may not have effectively granted ownership of certain technology or other intellectual property to us. In such an event, there would be a risk that the applicable counterparty would not be available to (or would not be willing to) assist us in perfecting our ownership of the technology or intellectual property, or the counterparty may even assert ownership rights against us and make claims for fees, damages, or equitable relief with respect to such technology or intellectual property, which may have an adverse effect on our ability to utilize, perfect, or protect our proprietary rights over such technology and intellectual property. Each jurisdiction has different rules regarding the correct language and procedures required to effectively assign intellectual property rights, and we may not have effectively implemented such language and procedures in each jurisdiction on every occasion, which may also limit our ability to perfect and protect our technology and intellectual property rights. Further, these agreements do not prevent our competitors or partners from independently developing technologies that are substantially equivalent or superior to our products. In addition, these agreements may not effectively prevent unauthorized use or disclosure of our confidential information, intellectual property, or technology and may not provide an adequate remedy in the event of unauthorized use or disclosure of our confidential information or technology, or infringement of our intellectual property.</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From time to time, particularly over the last several years, we have acquired a portion of our intellectual property from one or more third parties. While we have conducted diligence with respect to such acquisitions, because we did not participate in the development or prosecution of such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subject to the threat of piracy, unauthorized copying and other forms of intellectual property infringement.</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regard our technology as proprietary and take measures to protect our technology and other confidential information from infringement. Piracy and other forms of unauthorized copying and use of our technology may become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we have in the past and may in the future experience piracy, as factors such as the proliferation of technology designed to circumvent the protection measures used by our business partners or by us, may expand the unauthorized copying and use of our technology.</w:t>
      </w:r>
    </w:p>
    <w:p>
      <w:pPr>
        <w:spacing w:after="0" w:line="33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secret misappropriation may be amplified. If any of our trade secrets are subject to unauthorized disclosure or are otherwise misappropriated by third parties, our competitive position may be materially and adversely affected.</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45"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the interoperability of our software solutions with our customers’ intended use cases and with products and services of other companies, including our competitors.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success of our software solutions depends on the interoperability of our software with our customers’ intended use cases and often depends on the existing products and services of other companies, including our direct competitors. As a result, our customers’ bookings may rapidly evolve, utilize multiple standards, include multiple versions and generations of our software. In addition, to the extent that hardware and software vendors, including our competitors, perceive that their applications or technologies compete with our software solutions or services, they may have an incentive to withhold any cooperation necessary to ensure interoperability, decline to share access or sell to us their proprietary protocols or formats, or engage in practices to actively limit the functionality, compatibility and certification of our software solutions. In addition, competitors may fail to certify or support or continue to certify or support our software solutions for their systems.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any of the foregoing occurs, our software solutions development efforts may be delayed or foreclosed and it may be difficult and more costly for us to achieve functionality that would make our offerings attractive to our customers or potential customers, and we may, among other consequences, lose or fail to increase our market share and experience reduced demand for our services, any of which could negatively impact our business, financial condition and results of operations.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ordinary course of our business, we and the third parties upon which we rely, routinely receive, collect, store, process, generate, use, transfer, disclose, make accessible, protect, secure, dispose of, transmit, and share (collectively, process) personal data and other sensitive information, including proprietary technology, trade secrets and other confidential information about our business and our customers, suppliers, and business partners (collectively, sensitive data).</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a result, we and the third parties upon which we rely face a variety of evolving risks and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 supported actors.</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Some actors now engage, and are expected to continue to engage, in cyber-attacks, including without limitation, nation-state actors for geopolitical reasons and in connection with military conflicts and defense operations. During times of war and other major conflicts, we and the third parties upon which we rely may be vulnerable to a heightened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risk of these attacks, including retaliatory cyber-attacks that could materially disrupt our systems, supply chain and operations and ability to provide our services.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 chain attacks, software bugs, server malfunctions, software or hardware failures, loss of data or other information technology assets, adware, attacks enhanced or facilitated by AI, telecommunications failures, earthquakes, fires, floods, and other similar threats.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particular, severe ransomware attacks are becoming increasingly prevalent and can lead to significant interruptions in our operations, ability to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designed to address any such identified vulnerabilities. Such vulnerabilities could be exploited and result in a security incident.</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we (or a third party upon whom we rely) experience a security incident or are perceived to have experienced a security incident, we may experience adverse consequences, such as government enforcement actions (for example,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the use of our services or cause customers to stop using our services, deter new customers from using our services, and negatively impact our ability to grow and operate our business.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cyber insurance policies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our sensitive data or our customers’ sensitive data could be leaked, disclosed, or revealed as a result of or in connection with our employees’, personnel’s, or vendors’ use of generative AI technologies.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software licenses contain software modules licensed to us under “open source” licenses, and we expect to continue to incorporate such open source software in our software licenses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products.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We incorporate software that is licensed under open source licenses which could require release of proprietary code if such license was released or distributed in any manner that would trigger such a requirement to third parties. We take steps to ensure that such software is not released or distributed. Additionally, some open source projects have vulnerabilities and architectural instabilities and are provided without warranties or services to actively provide us patched versions when available, and which, if not properly addressed, could negatively affect the performance of our products.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Although we have certain processes in place to monitor and manage our use of open source software to avoid subjecting our software licenses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products. From time to time, there have been claims challenging the ownership of open source software against companies that incorporate open source software into their products, and the licensors of such open source software provide no warranties or indemnities with respect to such claims. As a result, we and our customers could be subject to lawsuits by parties claiming ownership of what we believe to be open source software. Moreover, we cannot assure you that our processes for monitoring and managing our use of open source software in our software licenses has been, or will be, effective.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licensing of our software licenses or other liability, or be required to seek costly licenses from third parties to continue providing our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software on terms that, if available at all, are not economically feasible, to re-engineer our software, to discontinue or delay the provision of our software if re-engineering could not be accomplished on a timely basis, or to make generally available, in source code form, our proprietary code, any of which would adversely affect our business, financial condition and results of operations.</w:t>
      </w:r>
    </w:p>
    <w:p>
      <w:pPr>
        <w:spacing w:after="0" w:line="133"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license third-party software and other intellectual property for use in research and development and, in several instances, inclusion in our products. We also license third-party software, including the software of our competitors, to test the interoperability of our software solutions with other industry software tools and in connection with our professional services. Our rights to use and employ software and other intellectual property that has been licensed to us, including our rights to develop, manufacture, or sell products covered by claims in licensed patents that are a subject of these licenses, are and will be subject to the continuation of and compliance with the terms of those licenses. We have and may in the future be in breach of a license, which may lead to the termination of rights granted to us under such license. This could result in competitors being able to enter our target markets and compete with us. We also may not be able to further develop, manufacture, or sell the affected products. Our third-party licenses may need to be renegotiated or renewed from time to time, or we may need to obtain new licenses in the future. Some of these licenses may also be terminated by the counterparty for convenience with limited notice to us. Third parties may stop adequately supporting or maintaining their technology, they may become insolvent or cease conducting business in the ordinary course, or they or their technology may be acquired by our competitors. From time to time, our licensors may license their technology to us on condition that we do not provide such technology or licenses incorporating such technology to certain customers. If we are unable to obtain licenses to these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in turn harm our financial results, our customers, and our reputation.</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inclusion of third-party intellectual property in our software solutions can also subject us and our customers to intellectual property infringement claims. Although we seek to mitigate this risk contractually, we have not always been able to, and may not in future be able to sufficiently limit our potential liability. Regardless of outcome, infringement claims may require us to use significant resources and may divert management’s attention. See the risk factor “—If we are unable to protect our proprietary technology and inventions through patents and other intellectual property rights, our ability to compete successfully and our financial results could be adversely impacted.”</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regular part of our business, we process sensitive data and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the past few years, numerous U.S. states, 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Outside the United States, an increasing number of laws, regulations, and industry standards may govern data privacy and security. For example, the EU General Data Protection Regulation (“GDPR”), the UK’s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 Additionally, we also target customers in Asia and have operations in China, Korea, Japan, Taiwan and Singapore and may be subject to new and emerging data privacy regimes in Asia, including Japan’s Act on the Protection of Personal Information, and Singapore’s Personal Data Protection Act.</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we may be unable to transfer personal data from the EU, the UK and other jurisdictions to the United States or other countries due to data localization requirements or limitations on cross-border data flows. The EU, UK, and other jurisdictions have enacted laws requiring data to be localized or limiting the transfer of personal data to other countries. In particular, the EU and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EU and UK to the United States in compliance with law, such as the EU standard contractual clauses, the UK’s International Data Transfer Agreement / Addendum, and the EU-U.S. Data Privacy Framework and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EU,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EU)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Litigation</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be subject to litigation, regardless of success or merit, that could cause us to incur substantial expenses, reduce our sales, and divert the efforts of our management and other personnel.</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semiconductor and photonics industries are characterized by vigorous protection and pursuit of intellectual property rights and positions, which has resulted in protracted and expensive litigation for many companies. We may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Furthermore, an adverse determination of any litigation or defense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5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ability to compete successfully depends in part on our ability to commercialize our intellectual property solutions without infringing the patent, trade secret, trademark, copyright, or other intellectual property rights of others.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Just as we seek to protect our technology and inventions with patents, trademarks, copyrights, trade secrets and other intellectual property rights, our competitors and other third parties do the same for their technology and inventions. We have no means of knowing the content of patent applications filed by third parties until they are published, and we may not be aware of any patent applications even following their publication or issue.</w:t>
      </w:r>
    </w:p>
    <w:p>
      <w:pPr>
        <w:spacing w:after="0" w:line="3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semiconductor and photonics industries are rife with patent assertion entities and is characterized by frequent litigation regarding patent and other intellectual property rights. From time to time, we receive communications from third parties that allege that our software solutions or technologies infringe their patent or other intellectual property rights. We are currently subject to litigation alleging we have misappropriated trade secrets, as described in further described in the risk factor “—Risks Related to Legal, Regulatory, Accounting and Tax Matters—Pending or future investigations or litigation could have a material adverse effect on our results of operations and our stock price.” As a public company with an increased profile and visibility, we may receive similar communications or lawsuits in the future.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may not be 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Lawsuits or other proceedings resulting from allegations of infringement could subject us to significant liability for damages, invalidate our proprietary rights and harm our business.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 the event that any third party succeeds in asserting a valid claim against us or any of our customers, we could be forced to do one or more of the following:</w:t>
      </w:r>
    </w:p>
    <w:p>
      <w:pPr>
        <w:spacing w:after="0" w:line="118" w:lineRule="exact"/>
        <w:rPr>
          <w:sz w:val="20"/>
          <w:szCs w:val="20"/>
          <w:color w:val="auto"/>
        </w:rPr>
      </w:pPr>
    </w:p>
    <w:p>
      <w:pPr>
        <w:ind w:left="660" w:hanging="328"/>
        <w:spacing w:after="0" w:line="273"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discontinue selling access to certain technologies that contain the allegedly infringing intellectual property which may result in a decline in our revenue and could result in breach of contract claim by our affected customers and damage to our reputation;</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discontinue using trademarks that allegedly infringe the trademarks of others;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stop receiving payment from a customer that can no longer sell the end-product if it contains allegedly infringing intellectual property;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seek to develop non-infringing technologies, which may be expensive and not be feasible;</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pay substantial monetary damages to the party whose intellectual property rights we may be found to be infringing; and/or</w:t>
      </w:r>
    </w:p>
    <w:p>
      <w:pPr>
        <w:spacing w:after="0" w:line="47" w:lineRule="exact"/>
        <w:rPr>
          <w:rFonts w:ascii="Arial" w:cs="Arial" w:eastAsia="Arial" w:hAnsi="Arial"/>
          <w:sz w:val="17"/>
          <w:szCs w:val="17"/>
          <w:color w:val="auto"/>
        </w:rPr>
      </w:pPr>
    </w:p>
    <w:p>
      <w:pPr>
        <w:ind w:left="660" w:hanging="328"/>
        <w:spacing w:after="0" w:line="284"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or our customers could be required to seek licenses to the infringed technology that may not be available on commercially reasonable terms, if at all.</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a third party causes us to discontinue the use of any of our technologies, we could be required to design around those technologies. If a third party causes us to discontinue using any of our trademarks, we could be required to adopt alternative brand names. If a third party establishes that they are co-authors of a copyrighted work that we use, we could be required to account for profits arising from exploiting such intellectual property. Each of these scenarios could be costly and time consuming and could have an adverse effect on our results of operations. Any significant impairments of our intellectual property rights from any litigation we face could harm our business and our ability to compete in our industry.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dispute regarding our intellectual property may require us to indemnify customers, the cost of which could harm our business.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any potential dispute involving our patents or other intellectual property, our customers could also become the target of litigation. While we generally try to avoid indemnifying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licensing or royalty payments.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Controlled Company</w:t>
      </w:r>
    </w:p>
    <w:p>
      <w:pPr>
        <w:spacing w:after="0" w:line="114"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Upon completion of our IPO in May of 2024, we became a “controlled company” within the meaning of the Nasdaq listing rules and as such are exempt from certain corporate governance requirements.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a result of Ms. Ngai-Pesic and the SMIK Grantor Retained Annuity Trust, of which Ms. Ngai-Pesic and members of her immediate family are beneficiaries, or SMIK Trust, collectively holding more than 50% of the voting power of our company, following the completion of the IPO in May, we became a “controlled company” within the meaning of the Nasdaq listing rules. Therefore, we are not required to comply with certain corporate governance rules that would otherwise apply to us as a listed company on Nasdaq, including the requirement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 Following the IPO, we intend to utilize some or all of these exemptions. As a result, we may not have a majority of independent directors on our board of directors. In addition, our compensation and nominating and corporate governance committees may not consist entirely of independent directors and may not be subject to annual performance evaluations. Should the interests of Ms. Ngai-Pesic and the SMIK Trust differ from those of our other stockholders, it is possible that the other stockholders might not be afforded such protections as might exist if our board of directors, or our committees, were required to have a majority, or be composed exclusively, of directors who were independent of Ms. Ngai-Pesic and the SMIK Trust or our management.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As long as we are a controlled company, your ability to influence matters requiring stockholder approval will be limited, and the interests of our controlling stockholder may conflict with or differ from your interests as a stockholder</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the completion of the IPO, the Pesic Family (as defined below) and the SMIK Trust, own 20,000,000 shares of our common stock, collectively representing approximately 70% of our total outstanding common stock. For so long as the Pesic Family and the SMIK Trust continue to collectively hold at least 50% of our outstanding common stock, they will be able to elect the members of our board of directors and could at any time replace our entire board of directors.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our amended and restated certificate of incorporation and amended and restated bylaws provide that, after Ms. Ngai-Pesic, Iliya Pesic, and Yelena Pesic, and each of their respective affiliates, (collectively voting together as a single entity, the “Pesic Family”) cease to beneficially own, in the aggregate, at least 50% of the voting power of the outstanding shares of our common stock, all stockholder actions must be effected at a duly called meeting of stockholders and not by written consent. As a result, Ms. Ngai-Pesic and the SMIK Trust will have the ability to control all matters affecting us, including:</w:t>
      </w:r>
    </w:p>
    <w:p>
      <w:pPr>
        <w:spacing w:after="0" w:line="139" w:lineRule="exact"/>
        <w:rPr>
          <w:sz w:val="20"/>
          <w:szCs w:val="20"/>
          <w:color w:val="auto"/>
        </w:rPr>
      </w:pPr>
    </w:p>
    <w:p>
      <w:pPr>
        <w:ind w:left="660" w:right="20" w:hanging="328"/>
        <w:spacing w:after="0" w:line="273"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through our board of directors, any determination with respect to our business plans and policies, including the appointment and removal of our officers;</w:t>
      </w: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determinations with respect to mergers and other business combinations;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acquisition or disposition of assets;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financing activities;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allocation of business opportunities that may be suitable for us;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payment of dividends on our common stock;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shares available for future issuance and also issuance under our stock plans.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for so long as the Stockholders Agreement (as defined below) remains in effect and the Pesic Family owns in the aggregate, at least 25% of the voting power of the then outstanding shares of our capital stock, our amended and restated certificate of incorporation provide that the prior written approval or consent of the Pesic Family shall be required for us to (i) implement any amendments to our amended and restated certificate of incorporation or bylaws 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Additionally, the Stockholders Agreement provides the Pesic Family and the SMIK Trust together have the ability to designate up to four nominees for our board of directors and one non-voting board observer, depending on ownership levels.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Pesic Family and the SMIK Trust’s collective voting control may discourage transactions involving a change of control of us, including transactions in which you as a holder of our common stock might otherwise receive a premium for your shares over the then current market price.</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Pesic Family and the SMIK Trust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and the SMIK Trust did not maintain voting control over us.</w:t>
      </w:r>
    </w:p>
    <w:p>
      <w:pPr>
        <w:spacing w:after="0" w:line="3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interests of the Pesic Family and the SMIK Trust could conflict with or differ from the interests as a holder of other stockholders. For example, the concentration of ownership held by the Pesic Family and the SMIK Trust could delay, defer or prevent a change of control of us or impede a merger, takeover or other business combination that other stockholders may otherwise view favorably. So long as the Pesic Family and the SMIK Trust continue to beneficially own a significant amount of our equity, even if such amount is less than 50%, they may continue to be able to strongly influence or effectively control our decisions.</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inability to resolve any disputes that arise between us and Ms. Ngai-Pesic, or other members of the Pesic Family, with respect to our past, future and ongoing relationships may adversely affect our operating results.</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2022, we entered into the 2022 Credit Line with Ms. Ngai-Pesic. As of March 31, 2024, we had drawn down $2.0 million from the 2022 Credit Line. The 2022 Credit Line was repaid in connection with our IPO in May of 2024. We also lease several office facilities from entities controlled by Ms. Ngai-Pesic pursuant to which we recorded a rent expense of $0.2 million during the three months ended March 31, 2024 and 2023. Because we are controlled by the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Pesic Family and the SMIK Trust, we may not have the leverage to negotiate extensions or amendments to our agreements on terms as favorable to us compared to those we would negotiate with an unaffiliated third party. See </w:t>
      </w:r>
      <w:r>
        <w:rPr>
          <w:rFonts w:ascii="Arial" w:cs="Arial" w:eastAsia="Arial" w:hAnsi="Arial"/>
          <w:sz w:val="17"/>
          <w:szCs w:val="17"/>
          <w:u w:val="single" w:color="auto"/>
          <w:color w:val="0000FF"/>
        </w:rPr>
        <w:t>Note 6</w:t>
      </w:r>
      <w:r>
        <w:rPr>
          <w:rFonts w:ascii="Arial" w:cs="Arial" w:eastAsia="Arial" w:hAnsi="Arial"/>
          <w:sz w:val="17"/>
          <w:szCs w:val="17"/>
          <w:color w:val="auto"/>
        </w:rPr>
        <w:t xml:space="preserve"> to our condensed consolidated financial statements and “Management’s Discussion and Analysis of Financial Condition and Results of Operations—Liquidity and Capital Resources.”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More generally, disputes may arise between Ms. Ngai-Pesic, or other members of the Pesic Family, and us in a number of areas relating to our past and ongoing relationships. We may not be able to resolve any potential conflicts, and even if we do, the resolution may be less favorable than if we were dealing with an unaffiliated party.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anti-corruption and anti-money laundering laws with respect to our operations and non-compliance with such laws can subject us to criminal and/or civil liability and harm our business.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subject to anti-corruption, anti-bribery, anti-money laundering, and similar laws in the United States and other countries in which we conduct activities, including the U.S. Foreign Corrupt Practices Act of 1977, as amended, or the FCPA, the U.S. domestic bribery statute contained in 18 U.S.C. § 201, the U.S. Travel Act, the USA PATRIOT Act, and the United Kingdom Bribery Act 2010. Anti-corruption and anti-bribery laws, which have been enforced aggressively and are interpreted broadly, generally prohibit companies and their employees, agents, intermediaries and other third parties from directly or indirectly promising, authorizing, making or offering improper payments or other benefits to government officials and others in the private sector. We use third parties, including intermediaries and partners, to support sales of our products. We and these third parties may have direct or indirect interactions with officials and employees of government agencies or state-owned or affiliated entities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anti-corruption, anti-bribery, anti-money laundering and similar laws, we cannot assure you that all of our employees, representatives, contractors, partners, agents, intermediaries or other third parties have not taken, or will not take, actions in violation of our policies and applicable law, for which we may be ultimately held responsible.</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Noncompliance with anti-corruption, anti-bribery, and anti-money laundering laws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Any investigations, actions or sanctions could harm our reputation, business, operating results and financial condition.</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sanctions that could impair our ability to compete in international markets due to licensing requirements and subject us to liability if we are not in compliance with applicable laws.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software solutions and technology are subject to export control and import laws and regulations of applicable jurisdictions.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or OFAC. These laws and regulations may limit our ability to export our software solutions and technology or may require export authorizations and conditions prior to export. Export control and sanctions laws may also prohibit us from selling or providing our software solutions and technology to embargoed countries, regions, governments, persons, and entities. In addition, various countries regulate the importation of certain products, including through import licensing and permitting requirements, which could limit or restrict our ability to sell our products. The exportation, re-exportation, and importation of our software solutions and technology must comply with these laws and regulations. If we fail to comply with these laws and regulations, we and certain of our employees could be subject to substantial civil or criminal penalties, including the possible loss of export or import privileges, as well as reputational harm.</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Complying with export control and sanctions laws and regulations can be time-consuming and result in the delay or loss of sales opportunities. We have taken precautions to prevent our software solutions and technology from being provided in violation of such laws and regulations. However, our software solutions and technology have previously been, and could in the future be, provided in violation of such laws despite the precautions in place.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July and October 2022 and January 2023, we also filed voluntary disclosures with OFAC regarding potential violations of OFAC sanctions programs, specifically the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download of certain Company software modules by users in U.S. embargoed countries. In October 2023, we also filed voluntary disclosures with OFAC regarding certain banking transactions made by our third party service provider in Russia on our behalf, through a bank that was sanctioned by OFAC. These voluntary disclosures remain pending before BIS and OFAC and if either organization chose to bring an enforcement action against us in relation to such potential violations, such actions could result in the imposition of significant penalties against us.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Any change in export or import laws and regulations, shift in the enforcement or scope of existing laws and regulations, or change in the countries, governments, persons or technologies targeted by such laws and regulations, could also result in decreased use of our software solutions and technology, or in our decreased ability to export or sell our software solutions and technology to existing or potential customers. Any decreased use of our software solutions and technology or limitation on our ability to export or sell our software solutions and technology would likely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Pending or future investigations or litigation could have a material adverse effect on our results of operations and our stock price.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involved in various investigations, claims and legal proceedings from time to time that arise in the ordinary course of our business activities, including intellectual property, collaboration, licensing agreement, product liability, employment, class action, whistleblower and other litigation claims, and governmental and other regulatory investigations and proceedings. For example, we have previously commenced legal proceedings against certain of our customers to protect our intellectual property rights and we may do so again in the future, which could result in resentment within our customer base and adversely affect our business, financial condition and results of operations. Our proceedings currently include customary audit activities by various taxing authorities and legal proceedings. For example, in December 2020, Silvaco, Inc., one of our subsidiaries, filed suit against Ole Christian Andersen et al., or Andersen, in California Superior Court for the County of Santa Clara seeking declaratory relief related to a dispute concerning the interpretation of an earnout agreement with Andersen in connection with the acquisition of the shares of Nangate Denmark ApS, or Nangate. In January 2022, Andersen filed a third amended cross-complaint against Silvaco, Inc. and certain of its board members alleging breach of contract, fraud, and unfair business practices and is seeking $20 million in damages, along with punitive damages. A jury trial in connection with this litigation commenced in the second quarter of 2024. Silvaco, Inc. intends to contest this matter vigorously. In August 2021, Aldini AG filed suit against Silvaco, Inc. in the United States District Court for the Northern District of California alleging various tort claims against Silvaco, Inc., Silvaco France, and certain of its board members. On August 23, 2022, Aldini AG filed a Second Amended Complaint against Silvaco, Inc., Silvaco France, and certain of its board members that included claims of trade secret theft, conspiracy, and intentional interference with a prospective economic advantage in relation to Silvaco’s acquisition of certain assets of Dolphin Design SAS, or Dolphin. Aldini AG seeks $703 million and punitive damages. On March 17, 2023, the Second Amended Complaint was dismissed on all counts, subject to a right of appeal. Aldini has filed a notice of appeal.</w:t>
      </w:r>
    </w:p>
    <w:p>
      <w:pPr>
        <w:spacing w:after="0" w:line="15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Changes in our tax rates or exposure to additional tax liabilities or assessments could affect our profitability, and audits by tax authorities could result in additional tax payments for prior periods.</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could adversely affect our business, financial position and results of operations.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Any significant changes to the tax system in the United States or in other jurisdictions could adversely affect our business, financial condition and results of operations.</w:t>
      </w:r>
    </w:p>
    <w:p>
      <w:pPr>
        <w:spacing w:after="0" w:line="1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U.S. Congress, government agencies in non-U.S. jurisdictions where we and our affiliates do business, and the Organization for Economic Cooperation and Development, or OECD, have recently focused on issues related to the taxation of multinational corporations. One example is in the area of “base erosion and profit shifting,” where profits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United States, the Tax Cuts and Jobs Act enacted in 2017, the Coronavirus Aid, Relief, and Economic Security Act enacted in 2020, and the Inflation Reduction Act enacted in 2022 made many significant changes to U.S. tax laws. For example, the Tax Cuts and Jobs Act of 2017 eliminated the option to deduct research and experimental expenditures in the year incurred in tax years beginning after December 31, 2021, and taxpayers are instead required to capitalize and amortize such expenditures over five years for research activities conducted in the United States and fifteen years for research activities conducted outside the United States. Although there have been legislative proposals to repeal or defer the capitalization requirement, there can be no assurance that such changes will be made. Future guidance from the Internal Revenue Service and other tax authorities with respect to any tax legislation may affect us, and certain aspects of such legislation could be repealed or modified in future legislation.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IPO in May of 2024 and Ownership of Our Common Stock</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price of our common stock could be volatile and you may not be able to resell your shares at or above the IPO price. Declines in the price of our common stock could subject us to litigation.</w:t>
      </w:r>
    </w:p>
    <w:p>
      <w:pPr>
        <w:spacing w:after="0" w:line="9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stock price may be volatile and may decline, resulting in a loss of some or all of your investment. The trading price and volume of our common stock could fluctuate significantly in response to numerous factors, many of which are beyond our control, including:</w:t>
      </w:r>
    </w:p>
    <w:p>
      <w:pPr>
        <w:spacing w:after="0" w:line="118" w:lineRule="exact"/>
        <w:rPr>
          <w:sz w:val="20"/>
          <w:szCs w:val="20"/>
          <w:color w:val="auto"/>
        </w:rPr>
      </w:pPr>
    </w:p>
    <w:p>
      <w:pPr>
        <w:ind w:left="660" w:right="20" w:hanging="328"/>
        <w:spacing w:after="0" w:line="273"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variations in our operating results and other financial and operational metrics, including the key financial and operating metrics disclosed in this prospectus, as well as how those results and metrics compare to analyst and investor expectations;</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speculation in the market about our operating results;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financial guidance we may provide to the public, any changes in guidance or our failure to meet guidance;</w:t>
      </w:r>
    </w:p>
    <w:p>
      <w:pPr>
        <w:spacing w:after="0" w:line="34"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financial estimates or ratings by any securities analysts who follow us, or our failure to meet these estimates or the expectations of investors;</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results of operations that otherwise fail to meet the expectations of securities analysts and investors;</w:t>
      </w:r>
    </w:p>
    <w:p>
      <w:pPr>
        <w:spacing w:after="0" w:line="47" w:lineRule="exact"/>
        <w:rPr>
          <w:rFonts w:ascii="Arial" w:cs="Arial" w:eastAsia="Arial" w:hAnsi="Arial"/>
          <w:sz w:val="17"/>
          <w:szCs w:val="17"/>
          <w:color w:val="auto"/>
        </w:rPr>
      </w:pPr>
    </w:p>
    <w:p>
      <w:pPr>
        <w:ind w:left="660" w:hanging="328"/>
        <w:spacing w:after="0" w:line="273" w:lineRule="auto"/>
        <w:tabs>
          <w:tab w:leader="none" w:pos="682"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or other changes in investor perceptions of the investment opportunity associated with our common stock relative to other investment alternatives;</w:t>
      </w:r>
    </w:p>
    <w:p>
      <w:pPr>
        <w:ind w:left="660" w:right="20" w:hanging="328"/>
        <w:spacing w:after="0" w:line="273" w:lineRule="auto"/>
        <w:tabs>
          <w:tab w:leader="none" w:pos="6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events or factors resulting from global health crises such as the COVID-19 pandemic, war, incidents of terrorism or responses to these events;</w:t>
      </w:r>
    </w:p>
    <w:p>
      <w:pPr>
        <w:ind w:left="660" w:right="20" w:hanging="328"/>
        <w:spacing w:after="0" w:line="273" w:lineRule="auto"/>
        <w:tabs>
          <w:tab w:leader="none" w:pos="6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announcements of software solutions or enhancements, strategic alliances or significant agreements or other developments by us or our competitors;</w:t>
      </w: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announcements by us or our competitors of mergers or acquisitions or rumors of such transactions involving us or our competitors;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management, other key personnel or our board of directors;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disruptions in our operations due to security breaches or other issues;</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strength of the global economy or the economy in the jurisdictions in which we operate, and market conditions in our industry and those affecting our customers;</w:t>
      </w:r>
    </w:p>
    <w:p>
      <w:pPr>
        <w:ind w:left="660" w:right="20" w:hanging="328"/>
        <w:spacing w:after="0" w:line="273" w:lineRule="auto"/>
        <w:tabs>
          <w:tab w:leader="none" w:pos="6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trading activity by our controlling stockholders, Ms. Ngai-Pesic and the SMIK Trust, including upon the expiration of contractual lock-up agreements, and other market participants, in whom ownership of our common stock may be concentrated following our IPO;</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effects arising if U.S. or global inflationary and/or currency devaluation trends appear or increase;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 conditions in the semiconductor and photonics industries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performance of the equity markets in general and in our industry;</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operating performance of other similar companies;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or our competitors’ businesses or the competitive landscape generally;</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regulations, including import, export and economic sanctions, laws and regulations, that may expose us to liability and increase our costs;</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litigation or other claims against us;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shares of our common stock that are available for public trading; and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factors discussed in this prospectus.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In addition, if the market for EDA, TCAD, SIP or other technology stocks or the stock market in general experiences a loss of investor confidence, the price of our common stock could decline for reasons unrelated to our business, results of operations or financial condition. The price of our common stock might also decline in reaction to events that affect 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financial position and results of operations.</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have not previously operated as a public company, which will require us to incur substantial costs and will require substantial management attention, and we may not be able to manage our transition to a public company effectively or efficiently.</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Until the IPO, we never operated as a public company and will incur significant legal, accounting and other expenses that we did not incur as a private company. We also expect to incur stock-based compensation expenses, which we did not incur in any material amount as a private company. Our management team and other personnel will need to devote a substantial amount of time to, and we may not effectively or efficiently manage, our transition to a public company. For example, we are subject to the reporting requirements of the Exchange Act, the applicable requirements of the Sarbanes-Oxley Act and the Dodd-Frank Wall Street Reform and Consumer Protection Act and the rules and regulations of the SEC. The rules and regulations of Nasdaq also apply to us following our IPO. To comply with the various requirements applicable to public companies, we will need to establish and maintain effective disclosure and financial controls and make changes to our corporate governance practices. If, notwithstanding our efforts to comply with these laws, regulations and standards, we fail to comply, regulatory authorities may initiate legal or administrative proceedings against us and our business may be harmed. Further, failure to comply with these rules might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 As such, we intend to invest resources to comply with evolving laws, regulations and standards, and this investment may result in increased general and administrative expenses and a diversion of management’s time and attention from revenue-generating activities.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also expect that our management and other personnel will need to divert attention from other business matters to devote substantial time to the reporting and other requirements applicable to a public company.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quality and timeliness of our financial reporting may suffer, which could result in late filings or the identification of additional material weaknesses in our internal controls. Any consequences resulting from inaccuracies or delays in our public reporting could cause our stock price to decline, result in litigation and could harm our business, financial condition and results of operations.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Additionally, 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are subject to significant regulatory compliance and internal governance requirements, and the failure to comply with such regulatory and governance requirements could result in a loss of sales or the loss of investor confidence in our financial reports, which could have an adverse effect on our stock price.</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subject to the rules and regulations of the SEC, including those that require us to report on our internal controls. Compliance with these requirements has and will cause us to incur additional expenses and cause management to divert time from our day-to-day operations. While we anticipate being able to fully comply with these internal control requirements, if we are not able to comply with the Sarbanes-Oxley reporting or certification requirements relating to internal controls, we may be subject to investigations or sanctions by the SEC, Nasdaq or other regulatory authorities.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stock is listed on Nasdaq and we are subject to ongoing financial and corporate governance requirements of Nasdaq. While we anticipate being able to fully comply with applicable Nasdaq requirements, if we are not able to comply, our name may be published on Nasdaq’s daily Non-Compliant Companies list until Nasdaq determines that we have regained compliance or we no longer trade on Nasdaq.</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There has been no prior public market for our common stock, and an active trading market for our common stock may not develop or be sustained and you may not be able to sell your shares at or above the IPO price, or at all.</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has been no public market for our common stock prior to our IPO. The IPO price for our common stock was determined through negotiations between the underwriters and us and may vary from the market price of our common stock following our IPO. If you purchased our common stock in our IPO, you may not be able to resell those shares at or above the IPO price, or at all.</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 active market in our common stock may not develop upon completion of our IPO or, if it does develop, it may not be sustainable or liquid enough for you to sell your shares, especially given the concentration of outstanding shares. If an active market for our common stock does not develop, it may be difficult for you to sell shares you purchase in our IPO at the price you paid.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Future issuances of our common stock or sales of a substantial number of shares of our common stock in the public market following our IPO, or the perception that such sales could occur, could cause the price of our common stock to decline.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Upon the closing of our IPO, we had approximately 28,529,318 shares of common stock outstanding, including 2,235,101 vested shares pursuant to the 2014 Plan, and 294,217 shares issued to Micron in connection with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mandatory conversion of the Micron Note. All of the shares of common stock sold in our IPO and issued to Micron are freely transferable without restriction or additional registration under the Securities Act of 1933, as amended, or the Securities Act.</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Substantially all of the remaining shares of our common stock, including all shares held by our executive officers, directors and the holders of substantially all of our equity securities, are subject to the lock-up agreements with the underwriters of our IPO. We have registered all shares of common stock that we may issue under equity compensation plans and therefore, those shares can be freely sold in the public market upon issuance, subject to volume limitations applicable to affiliates and the lock-up agreements. As these restrictions on resale end, the market price of our common stock could drop significantly if the holders of those shares sell them or are perceived by the market as intending to sell them.</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Other than shares which are vested as of the end of the lock-up period, we do not anticipate satisfying the anticipated tax withholding and remittance obligations as a result of vesting of RSUs granted to our employees. In such case, applicable holders of RSUs will be able to sell shares underlying their RSUs into the open market to the extent needed to satisfy the anticipated tax withholding and remittance obligations, subject to the restrictions set forth in the lock-up agreements. If we make such an election, the sales of shares underlying RSUs into the open market could cause the market price of our common stock to decline significantly. The market’s expectation that such sales could occur (even if they do not) could also cause the market price of our common stock to decline significantly. Any of the aforementioned declines in our stock price could occur even if our business is otherwise doing well and, as a result, you may lose all or a part of your investment.</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market price and trading market for our common stock may be influenced by the research and reports that industry or securities analysts publish about us, our business and our market.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no or few securities or industry analysts commence coverage of us, the trading price for our common stock may be negatively impacted. In the event we do obtain industry or equity research analyst coverage, we will not have any control over the analysts’ content and opinions included in their reports. If one or more analysts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broad discretion in the use of the net proceeds to us from our IPO and may not apply the proceeds in ways that increase our market value or improve our operating results.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management has considerable discretion in the application of the net proceeds from our IPO, and you will not have the opportunity, as part of your investment decision, to assess whether the proceeds are being used appropriately. The net proceeds to us may be used for corporate purposes that do not increase the value of our business, which could cause our stock price to decline. The failure by our management to apply the net proceeds from our IPO effectively could impair our growth prospects and result in financial losses that could harm our business and cause the price of our common stock to decline. We used a portion of the proceeds of our IPO to repay (i) the 2022 Credit Line, from which we have drawn $2.0 million as of March 31, 2024, payable to Ms. Ngai-Pesic and (ii) the East West Bank Loan, from which $4.3 million was drawn as of April 26, 2024. Until the net proceeds we receive are fully used, they may be placed in investments that do not produce income or that lose value. Additionally, we have broad discretion in the use of the net proceeds from our IPO when determining whether to satisfy the anticipated tax withholding and remittance obligations related to vesting of RSUs granted to our employees or whether to elect to allow RSU holders to sell into the open market shares underlying RSUs to the extent needed to satisfy tax obligations associated with these vested RSUs.</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do not intend to pay dividends on our common stock, so any returns on your investment will be limited to changes in the value of our common stock.</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dividends for the foreseeable future.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any future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indebtedness, other contractual restrictions and industry trends and any other factors or considerations our board of directors may regard as relevant. Any return to stockholders will therefore be limited to the increase, if any, in our stock price, which may never occur.</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amended and restated charter and bylaws that went into effect upon the closing of our IPO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charter and bylaws that went into effect upon the closing of our IPO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or any issue, in one or more series, of all or any of the remaining shares of preferred stock, and, in the resolution or resolutions providing for such issue; (iv) any action to interpret, apply, enforce, or determine the validity of our certificate of incorporation or our bylaws; or (v) any action asserting a claim against us governed by the internal affairs doctrine. 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Our charter and bylaws that went into effect upon the closing of our IPO further provide that, unless we consent in writing to the selection of an alternative forum, the federal district courts are the sole and exclusive forum for the resolution of any complaint asserting a cause of action arising under the Securities Act. The choice of forum provisions does not apply to suits brought to enforce any liability or duty created by the Exchange Act or any other claim for which the federal courts have exclusive jurisdiction.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our IPO.</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 and Risks Related to Being a Public Company</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impact the value of our common stock.</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been a private company and, as such, we have not been subject to the internal control and financial reporting requirements applicable to a publicly traded company. As a public company, we will be subject to Section 404 of the Sarbanes-Oxley Act, or Section 404, which requires that we maintain effective internal control over financial reporting and disclosure controls and procedures. Section 404(a) of the Sarbanes-Oxley Act requires that we include a management report on our internal controls, including an assessment of the effectiveness of our internal controls and financial reporting procedures, beginning with annual report for our fiscal year ending December 31, 2024. We will also be required to comply with the auditor attestation requirements of Section 404(b) of the Sarbanes-Oxley Act, or Section 404(b), following the later of the date we are deemed to be an “accelerated filer” or a “large accelerated filer,” each as defined in the Exchange Act, or the date we are no longer an “emerging growth company,” as defined in the JOBS Act. See “—We are an “emerging growth company” and a “smaller reporting company” and any decision on our part to comply with certain reduced reporting and disclosure requirements applicable to emerging growth companies could make our common stock less attractive to investors.” In order to comply with Section 404, we must perform system and process evaluations, document our controls and perform testing of our key controls over financial reporting to allow management to report on the effectiveness of our internal control over financial reporting. Our testing will need to include the disclosure of any material weaknesses or significant deficiencies in our internal control over financial reporting identified by our management or our independent registered public accounting firm. Our testing, or the subsequent testing by our independent public accounting firm, may reveal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If we are not able to comply with the requirements of Section 404 in a timely manner, or if we or our accounting firm identify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 management resources.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in the past and continue to identify material weaknesses in our internal control over financial reporting (“ICFR”). The material weakness as of December 31, 2023, identified in connection with the preparation of our consolidated financial statements, related to a lack of formalized accounting processes over ICFR and an insufficient complement of personnel possessing the technical accounting and financial reporting knowledge and experience to support a timely and accurate close and financial statement reporting process.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failure to maintain internal control over financial reporting or to identify any additional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adversely affect our future access to the capital markets.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working to remediate the material weakness and are taking steps to strengthen our internal control over financial reporting through the enhancement and formalization of our accounting processes over ICFR and the hiring of additional finance and accounting personnel, and we may take additional actions, including hiring additional personnel, implementing system upgrades or other organizational changes. With the additional personnel, we intend to take appropriate and reasonable steps to remediate this material weakness through the formalization of accounting policies and controls and retention of appropriate expertise for complex accounting transactions. We are also reviewing and documenting our accounting and financial processes and internal controls, building out our financial management and reporting systems infrastructure, and further developing and formalizing our accounting policies and financial reporting procedures, which includes ongoing senior management reviews. While we are taking measures and plan to continue to take measures to design and implement an effective control environment, we cannot assure you that the measures we have taken to date and other remediation and internal control measures we implement in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future will be sufficient to remediate our current material weakness or prevent future material weaknesses. We may discover additional material weaknesses in our system of internal financial and accounting controls and procedures that could result in a material misstatement of our financial statements. Our ICFR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not be able to access to the capital markets, and our stock price may be materially adversely affected. Moreover, we could become subject to investigations by regulatory authorities, which could require additional financial and management resources and result in the imposition of fines or penalties.</w:t>
      </w:r>
    </w:p>
    <w:p>
      <w:pPr>
        <w:spacing w:after="0" w:line="13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will remain an emerging growth company until the earlier of (ii) the last day of the fiscal year (a) in which the fifth anniversary of the completion of our IPO, (b) in which we have total annual gross revenue of at least $1.2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January 1, 2021, we have granted to our employees, consultants, and other service providers, restricted stock units representing an aggregate of 3,378,625 shares of our common stock, under our 2014 Plan.</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issuances of the securities described above were deemed to be exempt from registration under Rule 701 promulgated under the Securities Act as transactions under compensatory benefit plans and contracts relating 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compensation. The recipients of such securities were our directors, employees or bona fide consultants and received the securities under our equity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16, 2024, the Company entered into a note purchase agreement with Micron, which has been and is a customer of the Company, pursuant to which the Company issued the Micron Note. The Micron Note accrued interest at the rate of 8% annually, with principal and interest due upon maturity three years after the date of issuance. The Micron Note was mandatorily convertible into a number of shares equal to (i) the outstanding principal amount and accrued interest divided by (ii) a conversion price equal to (a) the price of the Company’s common stock issued in an initial public offering, times (b) 0.90 if the initial public offering of common stock was consummated on or prior to May 31, 2024. On May 13, 2024, the Micron Note was converted into 294,217 shares of the Company’s common stock in connection with the closing of the IPO. The shares issued pursuant to the Micron Note have been registered for resale under the Securities Act.</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May 13, 2024, the Company completed the IPO of an aggregate of 6,000,000 shares of Common Stock at a price to the public of $19.00 per share pursuant to a Registration Statement on Form S-1 that was declared effective on May 8, 2024 (File No. 333-278666). Jefferies LLC and TD Securities (USA) LLC acted as joint book-running managers for the IPO, Needham &amp; Company, LLC as lead manager, and Craig-Hallum Capital Group LLC and Rosenblatt Securities Inc. acted as co-managers for the IPO. The gross proceeds to the Company from the IPO were $114.0 million, with $106.0 million funded to the Company after deducting underwriting discounts and commissions.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Borders>
              <w:top w:val="single" w:sz="8" w:color="auto"/>
            </w:tcBorders>
            <w:gridSpan w:val="36"/>
          </w:tcPr>
          <w:p>
            <w:pPr>
              <w:spacing w:after="0"/>
              <w:rPr>
                <w:sz w:val="20"/>
                <w:szCs w:val="20"/>
                <w:color w:val="auto"/>
              </w:rPr>
            </w:pPr>
            <w:r>
              <w:rPr>
                <w:rFonts w:ascii="Arial" w:cs="Arial" w:eastAsia="Arial" w:hAnsi="Arial"/>
                <w:sz w:val="14"/>
                <w:szCs w:val="14"/>
                <w:b w:val="1"/>
                <w:bCs w:val="1"/>
                <w:color w:val="auto"/>
              </w:rPr>
              <w:t>Description</w:t>
            </w:r>
          </w:p>
        </w:tc>
      </w:tr>
      <w:tr>
        <w:trPr>
          <w:trHeight w:val="184"/>
        </w:trPr>
        <w:tc>
          <w:tcPr>
            <w:tcW w:w="1320" w:type="dxa"/>
            <w:vAlign w:val="bottom"/>
          </w:tcPr>
          <w:p>
            <w:pPr>
              <w:ind w:left="20"/>
              <w:spacing w:after="0" w:line="185" w:lineRule="exact"/>
              <w:rPr>
                <w:sz w:val="20"/>
                <w:szCs w:val="20"/>
                <w:color w:val="auto"/>
              </w:rPr>
            </w:pPr>
            <w:r>
              <w:rPr>
                <w:rFonts w:ascii="Arial" w:cs="Arial" w:eastAsia="Arial" w:hAnsi="Arial"/>
                <w:sz w:val="17"/>
                <w:szCs w:val="17"/>
                <w:color w:val="auto"/>
              </w:rPr>
              <w:t>3.1</w:t>
            </w:r>
          </w:p>
        </w:tc>
        <w:tc>
          <w:tcPr>
            <w:tcW w:w="9880" w:type="dxa"/>
            <w:vAlign w:val="bottom"/>
            <w:gridSpan w:val="36"/>
          </w:tcPr>
          <w:p>
            <w:pPr>
              <w:spacing w:after="0" w:line="185" w:lineRule="exact"/>
              <w:rPr>
                <w:rFonts w:ascii="Arial" w:cs="Arial" w:eastAsia="Arial" w:hAnsi="Arial"/>
                <w:sz w:val="17"/>
                <w:szCs w:val="17"/>
                <w:color w:val="0000FF"/>
              </w:rPr>
            </w:pPr>
            <w:hyperlink r:id="rId79">
              <w:r>
                <w:rPr>
                  <w:rFonts w:ascii="Arial" w:cs="Arial" w:eastAsia="Arial" w:hAnsi="Arial"/>
                  <w:sz w:val="17"/>
                  <w:szCs w:val="17"/>
                  <w:color w:val="0000FF"/>
                </w:rPr>
                <w:t>Amended and Restated Certificate of Incorporation of Silvaco Group, Inc. (filed as Exhibit 3.1 of the Registrant's Current Report on</w:t>
              </w:r>
            </w:hyperlink>
          </w:p>
        </w:tc>
      </w:tr>
      <w:tr>
        <w:trPr>
          <w:trHeight w:val="156"/>
        </w:trPr>
        <w:tc>
          <w:tcPr>
            <w:tcW w:w="1320" w:type="dxa"/>
            <w:vAlign w:val="bottom"/>
          </w:tcPr>
          <w:p>
            <w:pPr>
              <w:spacing w:after="0"/>
              <w:rPr>
                <w:sz w:val="13"/>
                <w:szCs w:val="13"/>
                <w:color w:val="auto"/>
              </w:rPr>
            </w:pPr>
          </w:p>
        </w:tc>
        <w:tc>
          <w:tcPr>
            <w:tcW w:w="9860" w:type="dxa"/>
            <w:vAlign w:val="bottom"/>
            <w:tcBorders>
              <w:top w:val="single" w:sz="8" w:color="0000FF"/>
            </w:tcBorders>
            <w:gridSpan w:val="35"/>
          </w:tcPr>
          <w:p>
            <w:pPr>
              <w:spacing w:after="0" w:line="155" w:lineRule="exact"/>
              <w:rPr>
                <w:rFonts w:ascii="Arial" w:cs="Arial" w:eastAsia="Arial" w:hAnsi="Arial"/>
                <w:sz w:val="17"/>
                <w:szCs w:val="17"/>
                <w:color w:val="0000FF"/>
              </w:rPr>
            </w:pPr>
            <w:hyperlink r:id="rId79">
              <w:r>
                <w:rPr>
                  <w:rFonts w:ascii="Arial" w:cs="Arial" w:eastAsia="Arial" w:hAnsi="Arial"/>
                  <w:sz w:val="17"/>
                  <w:szCs w:val="17"/>
                  <w:color w:val="0000FF"/>
                </w:rPr>
                <w:t>Form 8-K filed with the Securities and Exchange Commission on May 13, 2024)</w:t>
              </w:r>
            </w:hyperlink>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320" w:type="dxa"/>
            <w:vAlign w:val="bottom"/>
          </w:tcPr>
          <w:p>
            <w:pPr>
              <w:ind w:left="20"/>
              <w:spacing w:after="0"/>
              <w:rPr>
                <w:sz w:val="20"/>
                <w:szCs w:val="20"/>
                <w:color w:val="auto"/>
              </w:rPr>
            </w:pPr>
            <w:r>
              <w:rPr>
                <w:rFonts w:ascii="Arial" w:cs="Arial" w:eastAsia="Arial" w:hAnsi="Arial"/>
                <w:sz w:val="17"/>
                <w:szCs w:val="17"/>
                <w:color w:val="auto"/>
              </w:rPr>
              <w:t>3.2</w:t>
            </w:r>
          </w:p>
        </w:tc>
        <w:tc>
          <w:tcPr>
            <w:tcW w:w="9880" w:type="dxa"/>
            <w:vAlign w:val="bottom"/>
            <w:gridSpan w:val="36"/>
          </w:tcPr>
          <w:p>
            <w:pPr>
              <w:spacing w:after="0"/>
              <w:rPr>
                <w:rFonts w:ascii="Arial" w:cs="Arial" w:eastAsia="Arial" w:hAnsi="Arial"/>
                <w:sz w:val="17"/>
                <w:szCs w:val="17"/>
                <w:color w:val="0000FF"/>
              </w:rPr>
            </w:pPr>
            <w:hyperlink r:id="rId80">
              <w:r>
                <w:rPr>
                  <w:rFonts w:ascii="Arial" w:cs="Arial" w:eastAsia="Arial" w:hAnsi="Arial"/>
                  <w:sz w:val="17"/>
                  <w:szCs w:val="17"/>
                  <w:color w:val="0000FF"/>
                </w:rPr>
                <w:t>Amended and Restated Bylaws of Silvaco Group, Inc. (filed as Exhibit 3.2 of the Registrant's Current Report on Form 8-K filed</w:t>
              </w:r>
            </w:hyperlink>
          </w:p>
        </w:tc>
      </w:tr>
      <w:tr>
        <w:trPr>
          <w:trHeight w:val="156"/>
        </w:trPr>
        <w:tc>
          <w:tcPr>
            <w:tcW w:w="1320" w:type="dxa"/>
            <w:vAlign w:val="bottom"/>
          </w:tcPr>
          <w:p>
            <w:pPr>
              <w:spacing w:after="0"/>
              <w:rPr>
                <w:sz w:val="13"/>
                <w:szCs w:val="13"/>
                <w:color w:val="auto"/>
              </w:rPr>
            </w:pPr>
          </w:p>
        </w:tc>
        <w:tc>
          <w:tcPr>
            <w:tcW w:w="9520" w:type="dxa"/>
            <w:vAlign w:val="bottom"/>
            <w:tcBorders>
              <w:top w:val="single" w:sz="8" w:color="0000FF"/>
            </w:tcBorders>
            <w:gridSpan w:val="21"/>
          </w:tcPr>
          <w:p>
            <w:pPr>
              <w:spacing w:after="0" w:line="155" w:lineRule="exact"/>
              <w:rPr>
                <w:rFonts w:ascii="Arial" w:cs="Arial" w:eastAsia="Arial" w:hAnsi="Arial"/>
                <w:sz w:val="17"/>
                <w:szCs w:val="17"/>
                <w:color w:val="0000FF"/>
              </w:rPr>
            </w:pPr>
            <w:hyperlink r:id="rId80">
              <w:r>
                <w:rPr>
                  <w:rFonts w:ascii="Arial" w:cs="Arial" w:eastAsia="Arial" w:hAnsi="Arial"/>
                  <w:sz w:val="17"/>
                  <w:szCs w:val="17"/>
                  <w:color w:val="0000FF"/>
                </w:rPr>
                <w:t>with the Securities and Exchange Commission on May 13,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9"/>
        </w:trPr>
        <w:tc>
          <w:tcPr>
            <w:tcW w:w="1320" w:type="dxa"/>
            <w:vAlign w:val="bottom"/>
          </w:tcPr>
          <w:p>
            <w:pPr>
              <w:ind w:left="20"/>
              <w:spacing w:after="0"/>
              <w:rPr>
                <w:sz w:val="20"/>
                <w:szCs w:val="20"/>
                <w:color w:val="auto"/>
              </w:rPr>
            </w:pPr>
            <w:r>
              <w:rPr>
                <w:rFonts w:ascii="Arial" w:cs="Arial" w:eastAsia="Arial" w:hAnsi="Arial"/>
                <w:sz w:val="17"/>
                <w:szCs w:val="17"/>
                <w:color w:val="auto"/>
              </w:rPr>
              <w:t>10.1</w:t>
            </w:r>
          </w:p>
        </w:tc>
        <w:tc>
          <w:tcPr>
            <w:tcW w:w="9880" w:type="dxa"/>
            <w:vAlign w:val="bottom"/>
            <w:gridSpan w:val="36"/>
          </w:tcPr>
          <w:p>
            <w:pPr>
              <w:spacing w:after="0"/>
              <w:rPr>
                <w:rFonts w:ascii="Arial" w:cs="Arial" w:eastAsia="Arial" w:hAnsi="Arial"/>
                <w:sz w:val="17"/>
                <w:szCs w:val="17"/>
                <w:color w:val="0000FF"/>
              </w:rPr>
            </w:pPr>
            <w:hyperlink r:id="rId81">
              <w:r>
                <w:rPr>
                  <w:rFonts w:ascii="Arial" w:cs="Arial" w:eastAsia="Arial" w:hAnsi="Arial"/>
                  <w:sz w:val="17"/>
                  <w:szCs w:val="17"/>
                  <w:color w:val="0000FF"/>
                </w:rPr>
                <w:t xml:space="preserve">Form of Indemnification Agreement between the Registrant and its directors and officers (filed as Exhibit </w:t>
              </w:r>
            </w:hyperlink>
            <w:r>
              <w:rPr>
                <w:rFonts w:ascii="Arial" w:cs="Arial" w:eastAsia="Arial" w:hAnsi="Arial"/>
                <w:sz w:val="17"/>
                <w:szCs w:val="17"/>
                <w:color w:val="0000FF"/>
              </w:rPr>
              <w:t xml:space="preserve">10.1 </w:t>
            </w:r>
            <w:hyperlink r:id="rId81">
              <w:r>
                <w:rPr>
                  <w:rFonts w:ascii="Arial" w:cs="Arial" w:eastAsia="Arial" w:hAnsi="Arial"/>
                  <w:sz w:val="17"/>
                  <w:szCs w:val="17"/>
                  <w:color w:val="0000FF"/>
                </w:rPr>
                <w:t>of the Registrant's</w:t>
              </w:r>
            </w:hyperlink>
          </w:p>
        </w:tc>
      </w:tr>
      <w:tr>
        <w:trPr>
          <w:trHeight w:val="135"/>
        </w:trPr>
        <w:tc>
          <w:tcPr>
            <w:tcW w:w="1320" w:type="dxa"/>
            <w:vAlign w:val="bottom"/>
          </w:tcPr>
          <w:p>
            <w:pPr>
              <w:spacing w:after="0"/>
              <w:rPr>
                <w:sz w:val="11"/>
                <w:szCs w:val="11"/>
                <w:color w:val="auto"/>
              </w:rPr>
            </w:pPr>
          </w:p>
        </w:tc>
        <w:tc>
          <w:tcPr>
            <w:tcW w:w="6700" w:type="dxa"/>
            <w:vAlign w:val="bottom"/>
            <w:tcBorders>
              <w:top w:val="single" w:sz="8" w:color="0000FF"/>
              <w:bottom w:val="single" w:sz="8" w:color="0000FF"/>
            </w:tcBorders>
            <w:gridSpan w:val="8"/>
          </w:tcPr>
          <w:p>
            <w:pPr>
              <w:spacing w:after="0" w:line="136" w:lineRule="exact"/>
              <w:rPr>
                <w:rFonts w:ascii="Arial" w:cs="Arial" w:eastAsia="Arial" w:hAnsi="Arial"/>
                <w:sz w:val="15"/>
                <w:szCs w:val="15"/>
                <w:color w:val="0000FF"/>
              </w:rPr>
            </w:pPr>
            <w:hyperlink r:id="rId81">
              <w:r>
                <w:rPr>
                  <w:rFonts w:ascii="Arial" w:cs="Arial" w:eastAsia="Arial" w:hAnsi="Arial"/>
                  <w:sz w:val="15"/>
                  <w:szCs w:val="15"/>
                  <w:color w:val="0000FF"/>
                </w:rPr>
                <w:t>amended Registration Statement on Form S-1 filed with the Securities and Exchange</w:t>
              </w:r>
            </w:hyperlink>
          </w:p>
        </w:tc>
        <w:tc>
          <w:tcPr>
            <w:tcW w:w="2120" w:type="dxa"/>
            <w:vAlign w:val="bottom"/>
            <w:tcBorders>
              <w:top w:val="single" w:sz="8" w:color="0000FF"/>
              <w:bottom w:val="single" w:sz="8" w:color="0000FF"/>
            </w:tcBorders>
            <w:gridSpan w:val="7"/>
          </w:tcPr>
          <w:p>
            <w:pPr>
              <w:spacing w:after="0" w:line="136" w:lineRule="exact"/>
              <w:rPr>
                <w:rFonts w:ascii="Arial" w:cs="Arial" w:eastAsia="Arial" w:hAnsi="Arial"/>
                <w:sz w:val="15"/>
                <w:szCs w:val="15"/>
                <w:color w:val="0000FF"/>
              </w:rPr>
            </w:pPr>
            <w:hyperlink r:id="rId81">
              <w:r>
                <w:rPr>
                  <w:rFonts w:ascii="Arial" w:cs="Arial" w:eastAsia="Arial" w:hAnsi="Arial"/>
                  <w:sz w:val="15"/>
                  <w:szCs w:val="15"/>
                  <w:color w:val="0000FF"/>
                </w:rPr>
                <w:t>Commission on April 30, 2024)</w:t>
              </w:r>
            </w:hyperlink>
          </w:p>
        </w:tc>
        <w:tc>
          <w:tcPr>
            <w:tcW w:w="84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r>
      <w:tr>
        <w:trPr>
          <w:trHeight w:val="345"/>
        </w:trPr>
        <w:tc>
          <w:tcPr>
            <w:tcW w:w="1320" w:type="dxa"/>
            <w:vAlign w:val="bottom"/>
          </w:tcPr>
          <w:p>
            <w:pPr>
              <w:ind w:left="20"/>
              <w:spacing w:after="0"/>
              <w:rPr>
                <w:sz w:val="20"/>
                <w:szCs w:val="20"/>
                <w:color w:val="auto"/>
              </w:rPr>
            </w:pPr>
            <w:r>
              <w:rPr>
                <w:rFonts w:ascii="Arial" w:cs="Arial" w:eastAsia="Arial" w:hAnsi="Arial"/>
                <w:sz w:val="17"/>
                <w:szCs w:val="17"/>
                <w:color w:val="auto"/>
              </w:rPr>
              <w:t>10.2</w:t>
            </w:r>
          </w:p>
        </w:tc>
        <w:tc>
          <w:tcPr>
            <w:tcW w:w="9880" w:type="dxa"/>
            <w:vAlign w:val="bottom"/>
            <w:gridSpan w:val="36"/>
          </w:tcPr>
          <w:p>
            <w:pPr>
              <w:spacing w:after="0"/>
              <w:rPr>
                <w:rFonts w:ascii="Arial" w:cs="Arial" w:eastAsia="Arial" w:hAnsi="Arial"/>
                <w:sz w:val="17"/>
                <w:szCs w:val="17"/>
                <w:color w:val="0000FF"/>
              </w:rPr>
            </w:pPr>
            <w:hyperlink r:id="rId82">
              <w:r>
                <w:rPr>
                  <w:rFonts w:ascii="Arial" w:cs="Arial" w:eastAsia="Arial" w:hAnsi="Arial"/>
                  <w:sz w:val="17"/>
                  <w:szCs w:val="17"/>
                  <w:color w:val="0000FF"/>
                </w:rPr>
                <w:t xml:space="preserve">Amended and Restated 2014 Stock Incentive Plan and Form of Restricted Stock Unit Agreement thereunder (filed as Exhibit </w:t>
              </w:r>
            </w:hyperlink>
            <w:r>
              <w:rPr>
                <w:rFonts w:ascii="Arial" w:cs="Arial" w:eastAsia="Arial" w:hAnsi="Arial"/>
                <w:sz w:val="17"/>
                <w:szCs w:val="17"/>
                <w:color w:val="0000FF"/>
              </w:rPr>
              <w:t>10.2</w:t>
            </w:r>
          </w:p>
        </w:tc>
      </w:tr>
      <w:tr>
        <w:trPr>
          <w:trHeight w:val="155"/>
        </w:trPr>
        <w:tc>
          <w:tcPr>
            <w:tcW w:w="13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9"/>
          </w:tcPr>
          <w:p>
            <w:pPr>
              <w:spacing w:after="0" w:line="155" w:lineRule="exact"/>
              <w:rPr>
                <w:rFonts w:ascii="Arial" w:cs="Arial" w:eastAsia="Arial" w:hAnsi="Arial"/>
                <w:sz w:val="17"/>
                <w:szCs w:val="17"/>
                <w:color w:val="0000FF"/>
              </w:rPr>
            </w:pPr>
            <w:hyperlink r:id="rId82">
              <w:r>
                <w:rPr>
                  <w:rFonts w:ascii="Arial" w:cs="Arial" w:eastAsia="Arial" w:hAnsi="Arial"/>
                  <w:sz w:val="17"/>
                  <w:szCs w:val="17"/>
                  <w:color w:val="0000FF"/>
                </w:rPr>
                <w:t>of the Registrant's Registration Statement on Form S-1 filed with the Securities and Exchange Commission on April 12, 2024)</w:t>
              </w:r>
            </w:hyperlink>
          </w:p>
        </w:tc>
        <w:tc>
          <w:tcPr>
            <w:tcW w:w="3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45"/>
        </w:trPr>
        <w:tc>
          <w:tcPr>
            <w:tcW w:w="1320" w:type="dxa"/>
            <w:vAlign w:val="bottom"/>
          </w:tcPr>
          <w:p>
            <w:pPr>
              <w:ind w:left="20"/>
              <w:spacing w:after="0"/>
              <w:rPr>
                <w:sz w:val="20"/>
                <w:szCs w:val="20"/>
                <w:color w:val="auto"/>
              </w:rPr>
            </w:pPr>
            <w:r>
              <w:rPr>
                <w:rFonts w:ascii="Arial" w:cs="Arial" w:eastAsia="Arial" w:hAnsi="Arial"/>
                <w:sz w:val="17"/>
                <w:szCs w:val="17"/>
                <w:color w:val="auto"/>
              </w:rPr>
              <w:t>10.3</w:t>
            </w:r>
          </w:p>
        </w:tc>
        <w:tc>
          <w:tcPr>
            <w:tcW w:w="9880" w:type="dxa"/>
            <w:vAlign w:val="bottom"/>
            <w:gridSpan w:val="36"/>
          </w:tcPr>
          <w:p>
            <w:pPr>
              <w:spacing w:after="0"/>
              <w:rPr>
                <w:rFonts w:ascii="Arial" w:cs="Arial" w:eastAsia="Arial" w:hAnsi="Arial"/>
                <w:sz w:val="17"/>
                <w:szCs w:val="17"/>
                <w:color w:val="0000FF"/>
              </w:rPr>
            </w:pPr>
            <w:hyperlink r:id="rId83">
              <w:r>
                <w:rPr>
                  <w:rFonts w:ascii="Arial" w:cs="Arial" w:eastAsia="Arial" w:hAnsi="Arial"/>
                  <w:sz w:val="17"/>
                  <w:szCs w:val="17"/>
                  <w:color w:val="0000FF"/>
                </w:rPr>
                <w:t>2024 Stock Incentive Plan and Forms of Stock Option Agreement, Notice of Exercise, Stock Option Grant Notice, Restricted Stock</w:t>
              </w:r>
            </w:hyperlink>
          </w:p>
        </w:tc>
      </w:tr>
      <w:tr>
        <w:trPr>
          <w:trHeight w:val="155"/>
        </w:trPr>
        <w:tc>
          <w:tcPr>
            <w:tcW w:w="1320" w:type="dxa"/>
            <w:vAlign w:val="bottom"/>
          </w:tcPr>
          <w:p>
            <w:pPr>
              <w:spacing w:after="0"/>
              <w:rPr>
                <w:sz w:val="13"/>
                <w:szCs w:val="13"/>
                <w:color w:val="auto"/>
              </w:rPr>
            </w:pPr>
          </w:p>
        </w:tc>
        <w:tc>
          <w:tcPr>
            <w:tcW w:w="9820" w:type="dxa"/>
            <w:vAlign w:val="bottom"/>
            <w:tcBorders>
              <w:top w:val="single" w:sz="8" w:color="0000FF"/>
            </w:tcBorders>
            <w:gridSpan w:val="34"/>
          </w:tcPr>
          <w:p>
            <w:pPr>
              <w:spacing w:after="0" w:line="155" w:lineRule="exact"/>
              <w:rPr>
                <w:rFonts w:ascii="Arial" w:cs="Arial" w:eastAsia="Arial" w:hAnsi="Arial"/>
                <w:sz w:val="17"/>
                <w:szCs w:val="17"/>
                <w:color w:val="0000FF"/>
              </w:rPr>
            </w:pPr>
            <w:hyperlink r:id="rId83">
              <w:r>
                <w:rPr>
                  <w:rFonts w:ascii="Arial" w:cs="Arial" w:eastAsia="Arial" w:hAnsi="Arial"/>
                  <w:sz w:val="17"/>
                  <w:szCs w:val="17"/>
                  <w:color w:val="0000FF"/>
                </w:rPr>
                <w:t>Unit Agreement and Restricted Stock Agreement thereunder (filed as Exhibit 10.3 of the Registrant's amended Registration</w:t>
              </w:r>
            </w:hyperlink>
          </w:p>
        </w:tc>
        <w:tc>
          <w:tcPr>
            <w:tcW w:w="60" w:type="dxa"/>
            <w:vAlign w:val="bottom"/>
            <w:gridSpan w:val="2"/>
          </w:tcPr>
          <w:p>
            <w:pPr>
              <w:spacing w:after="0"/>
              <w:rPr>
                <w:sz w:val="13"/>
                <w:szCs w:val="13"/>
                <w:color w:val="auto"/>
              </w:rPr>
            </w:pPr>
          </w:p>
        </w:tc>
      </w:tr>
      <w:tr>
        <w:trPr>
          <w:trHeight w:val="142"/>
        </w:trPr>
        <w:tc>
          <w:tcPr>
            <w:tcW w:w="1320" w:type="dxa"/>
            <w:vAlign w:val="bottom"/>
          </w:tcPr>
          <w:p>
            <w:pPr>
              <w:spacing w:after="0"/>
              <w:rPr>
                <w:sz w:val="12"/>
                <w:szCs w:val="12"/>
                <w:color w:val="auto"/>
              </w:rPr>
            </w:pPr>
          </w:p>
        </w:tc>
        <w:tc>
          <w:tcPr>
            <w:tcW w:w="46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83">
              <w:r>
                <w:rPr>
                  <w:rFonts w:ascii="Arial" w:cs="Arial" w:eastAsia="Arial" w:hAnsi="Arial"/>
                  <w:sz w:val="16"/>
                  <w:szCs w:val="16"/>
                  <w:color w:val="0000FF"/>
                </w:rPr>
                <w:t>Statement on Form S-1 filed with the Securities and Exchange</w:t>
              </w:r>
            </w:hyperlink>
          </w:p>
        </w:tc>
        <w:tc>
          <w:tcPr>
            <w:tcW w:w="2480" w:type="dxa"/>
            <w:vAlign w:val="bottom"/>
            <w:tcBorders>
              <w:top w:val="single" w:sz="8" w:color="0000FF"/>
              <w:bottom w:val="single" w:sz="8" w:color="0000FF"/>
            </w:tcBorders>
            <w:gridSpan w:val="5"/>
          </w:tcPr>
          <w:p>
            <w:pPr>
              <w:ind w:left="140"/>
              <w:spacing w:after="0" w:line="142" w:lineRule="exact"/>
              <w:rPr>
                <w:rFonts w:ascii="Arial" w:cs="Arial" w:eastAsia="Arial" w:hAnsi="Arial"/>
                <w:sz w:val="16"/>
                <w:szCs w:val="16"/>
                <w:color w:val="0000FF"/>
              </w:rPr>
            </w:pPr>
            <w:hyperlink r:id="rId83">
              <w:r>
                <w:rPr>
                  <w:rFonts w:ascii="Arial" w:cs="Arial" w:eastAsia="Arial" w:hAnsi="Arial"/>
                  <w:sz w:val="16"/>
                  <w:szCs w:val="16"/>
                  <w:color w:val="0000FF"/>
                </w:rPr>
                <w:t>Commission on April 30, 2024)</w:t>
              </w:r>
            </w:hyperlink>
          </w:p>
        </w:tc>
        <w:tc>
          <w:tcPr>
            <w:tcW w:w="2200" w:type="dxa"/>
            <w:vAlign w:val="bottom"/>
            <w:tcBorders>
              <w:top w:val="single" w:sz="8" w:color="0000FF"/>
            </w:tcBorders>
            <w:gridSpan w:val="8"/>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371"/>
        </w:trPr>
        <w:tc>
          <w:tcPr>
            <w:tcW w:w="1320" w:type="dxa"/>
            <w:vAlign w:val="bottom"/>
          </w:tcPr>
          <w:p>
            <w:pPr>
              <w:ind w:left="20"/>
              <w:spacing w:after="0"/>
              <w:rPr>
                <w:sz w:val="20"/>
                <w:szCs w:val="20"/>
                <w:color w:val="auto"/>
              </w:rPr>
            </w:pPr>
            <w:r>
              <w:rPr>
                <w:rFonts w:ascii="Arial" w:cs="Arial" w:eastAsia="Arial" w:hAnsi="Arial"/>
                <w:sz w:val="17"/>
                <w:szCs w:val="17"/>
                <w:color w:val="auto"/>
              </w:rPr>
              <w:t>10.4</w:t>
            </w:r>
          </w:p>
        </w:tc>
        <w:tc>
          <w:tcPr>
            <w:tcW w:w="9880" w:type="dxa"/>
            <w:vAlign w:val="bottom"/>
            <w:gridSpan w:val="36"/>
          </w:tcPr>
          <w:p>
            <w:pPr>
              <w:spacing w:after="0"/>
              <w:rPr>
                <w:rFonts w:ascii="Arial" w:cs="Arial" w:eastAsia="Arial" w:hAnsi="Arial"/>
                <w:sz w:val="17"/>
                <w:szCs w:val="17"/>
                <w:color w:val="0000FF"/>
              </w:rPr>
            </w:pPr>
            <w:hyperlink r:id="rId84">
              <w:r>
                <w:rPr>
                  <w:rFonts w:ascii="Arial" w:cs="Arial" w:eastAsia="Arial" w:hAnsi="Arial"/>
                  <w:sz w:val="17"/>
                  <w:szCs w:val="17"/>
                  <w:color w:val="0000FF"/>
                </w:rPr>
                <w:t>2024 Employee Stock Purchase Plan (filed as Exhibit 10.4 of the Registrant's amended Registration Statement on Form S-1 filed</w:t>
              </w:r>
            </w:hyperlink>
          </w:p>
        </w:tc>
      </w:tr>
      <w:tr>
        <w:trPr>
          <w:trHeight w:val="156"/>
        </w:trPr>
        <w:tc>
          <w:tcPr>
            <w:tcW w:w="132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55" w:lineRule="exact"/>
              <w:rPr>
                <w:rFonts w:ascii="Arial" w:cs="Arial" w:eastAsia="Arial" w:hAnsi="Arial"/>
                <w:sz w:val="17"/>
                <w:szCs w:val="17"/>
                <w:color w:val="0000FF"/>
              </w:rPr>
            </w:pPr>
            <w:hyperlink r:id="rId84">
              <w:r>
                <w:rPr>
                  <w:rFonts w:ascii="Arial" w:cs="Arial" w:eastAsia="Arial" w:hAnsi="Arial"/>
                  <w:sz w:val="17"/>
                  <w:szCs w:val="17"/>
                  <w:color w:val="0000FF"/>
                </w:rPr>
                <w:t>with the Securities and Exchange Commission on April 30,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8"/>
        </w:trPr>
        <w:tc>
          <w:tcPr>
            <w:tcW w:w="1320" w:type="dxa"/>
            <w:vAlign w:val="bottom"/>
          </w:tcPr>
          <w:p>
            <w:pPr>
              <w:ind w:left="20"/>
              <w:spacing w:after="0"/>
              <w:rPr>
                <w:sz w:val="20"/>
                <w:szCs w:val="20"/>
                <w:color w:val="auto"/>
              </w:rPr>
            </w:pPr>
            <w:r>
              <w:rPr>
                <w:rFonts w:ascii="Arial" w:cs="Arial" w:eastAsia="Arial" w:hAnsi="Arial"/>
                <w:sz w:val="17"/>
                <w:szCs w:val="17"/>
                <w:color w:val="auto"/>
              </w:rPr>
              <w:t>10.5</w:t>
            </w:r>
          </w:p>
        </w:tc>
        <w:tc>
          <w:tcPr>
            <w:tcW w:w="9880" w:type="dxa"/>
            <w:vAlign w:val="bottom"/>
            <w:gridSpan w:val="36"/>
          </w:tcPr>
          <w:p>
            <w:pPr>
              <w:spacing w:after="0"/>
              <w:rPr>
                <w:rFonts w:ascii="Arial" w:cs="Arial" w:eastAsia="Arial" w:hAnsi="Arial"/>
                <w:sz w:val="17"/>
                <w:szCs w:val="17"/>
                <w:color w:val="0000FF"/>
              </w:rPr>
            </w:pPr>
            <w:hyperlink r:id="rId85">
              <w:r>
                <w:rPr>
                  <w:rFonts w:ascii="Arial" w:cs="Arial" w:eastAsia="Arial" w:hAnsi="Arial"/>
                  <w:sz w:val="17"/>
                  <w:szCs w:val="17"/>
                  <w:color w:val="0000FF"/>
                </w:rPr>
                <w:t>Offer Letter Agreement, dated December 25, 2021, between the Registrant and Dr. Raul Camposano (filed as Exhibit 10.5 of the</w:t>
              </w:r>
            </w:hyperlink>
          </w:p>
        </w:tc>
      </w:tr>
      <w:tr>
        <w:trPr>
          <w:trHeight w:val="135"/>
        </w:trPr>
        <w:tc>
          <w:tcPr>
            <w:tcW w:w="1320" w:type="dxa"/>
            <w:vAlign w:val="bottom"/>
          </w:tcPr>
          <w:p>
            <w:pPr>
              <w:spacing w:after="0"/>
              <w:rPr>
                <w:sz w:val="11"/>
                <w:szCs w:val="11"/>
                <w:color w:val="auto"/>
              </w:rPr>
            </w:pPr>
          </w:p>
        </w:tc>
        <w:tc>
          <w:tcPr>
            <w:tcW w:w="7680" w:type="dxa"/>
            <w:vAlign w:val="bottom"/>
            <w:tcBorders>
              <w:top w:val="single" w:sz="8" w:color="0000FF"/>
              <w:bottom w:val="single" w:sz="8" w:color="0000FF"/>
            </w:tcBorders>
            <w:gridSpan w:val="10"/>
          </w:tcPr>
          <w:p>
            <w:pPr>
              <w:spacing w:after="0" w:line="136" w:lineRule="exact"/>
              <w:rPr>
                <w:rFonts w:ascii="Arial" w:cs="Arial" w:eastAsia="Arial" w:hAnsi="Arial"/>
                <w:sz w:val="15"/>
                <w:szCs w:val="15"/>
                <w:color w:val="0000FF"/>
              </w:rPr>
            </w:pPr>
            <w:hyperlink r:id="rId85">
              <w:r>
                <w:rPr>
                  <w:rFonts w:ascii="Arial" w:cs="Arial" w:eastAsia="Arial" w:hAnsi="Arial"/>
                  <w:sz w:val="15"/>
                  <w:szCs w:val="15"/>
                  <w:color w:val="0000FF"/>
                </w:rPr>
                <w:t>Registrant's Registration Statement on Form S-1 filed with the Securities and Exchange Commission</w:t>
              </w:r>
            </w:hyperlink>
          </w:p>
        </w:tc>
        <w:tc>
          <w:tcPr>
            <w:tcW w:w="20" w:type="dxa"/>
            <w:vAlign w:val="bottom"/>
            <w:tcBorders>
              <w:bottom w:val="single" w:sz="8" w:color="0000FF"/>
            </w:tcBorders>
          </w:tcPr>
          <w:p>
            <w:pPr>
              <w:spacing w:after="0"/>
              <w:rPr>
                <w:sz w:val="11"/>
                <w:szCs w:val="11"/>
                <w:color w:val="auto"/>
              </w:rPr>
            </w:pPr>
          </w:p>
        </w:tc>
        <w:tc>
          <w:tcPr>
            <w:tcW w:w="1300" w:type="dxa"/>
            <w:vAlign w:val="bottom"/>
            <w:tcBorders>
              <w:top w:val="single" w:sz="8" w:color="0000FF"/>
              <w:bottom w:val="single" w:sz="8" w:color="0000FF"/>
            </w:tcBorders>
            <w:gridSpan w:val="5"/>
          </w:tcPr>
          <w:p>
            <w:pPr>
              <w:spacing w:after="0" w:line="136" w:lineRule="exact"/>
              <w:rPr>
                <w:rFonts w:ascii="Arial" w:cs="Arial" w:eastAsia="Arial" w:hAnsi="Arial"/>
                <w:sz w:val="15"/>
                <w:szCs w:val="15"/>
                <w:color w:val="0000FF"/>
              </w:rPr>
            </w:pPr>
            <w:hyperlink r:id="rId85">
              <w:r>
                <w:rPr>
                  <w:rFonts w:ascii="Arial" w:cs="Arial" w:eastAsia="Arial" w:hAnsi="Arial"/>
                  <w:sz w:val="15"/>
                  <w:szCs w:val="15"/>
                  <w:color w:val="0000FF"/>
                </w:rPr>
                <w:t>on April 12, 2024)</w:t>
              </w:r>
            </w:hyperlink>
          </w:p>
        </w:tc>
        <w:tc>
          <w:tcPr>
            <w:tcW w:w="720" w:type="dxa"/>
            <w:vAlign w:val="bottom"/>
            <w:tcBorders>
              <w:top w:val="single" w:sz="8" w:color="0000FF"/>
            </w:tcBorders>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345"/>
        </w:trPr>
        <w:tc>
          <w:tcPr>
            <w:tcW w:w="1320" w:type="dxa"/>
            <w:vAlign w:val="bottom"/>
          </w:tcPr>
          <w:p>
            <w:pPr>
              <w:ind w:left="20"/>
              <w:spacing w:after="0"/>
              <w:rPr>
                <w:sz w:val="20"/>
                <w:szCs w:val="20"/>
                <w:color w:val="auto"/>
              </w:rPr>
            </w:pPr>
            <w:r>
              <w:rPr>
                <w:rFonts w:ascii="Arial" w:cs="Arial" w:eastAsia="Arial" w:hAnsi="Arial"/>
                <w:sz w:val="17"/>
                <w:szCs w:val="17"/>
                <w:color w:val="auto"/>
              </w:rPr>
              <w:t>10.6</w:t>
            </w:r>
          </w:p>
        </w:tc>
        <w:tc>
          <w:tcPr>
            <w:tcW w:w="9880" w:type="dxa"/>
            <w:vAlign w:val="bottom"/>
            <w:gridSpan w:val="36"/>
          </w:tcPr>
          <w:p>
            <w:pPr>
              <w:spacing w:after="0"/>
              <w:rPr>
                <w:rFonts w:ascii="Arial" w:cs="Arial" w:eastAsia="Arial" w:hAnsi="Arial"/>
                <w:sz w:val="17"/>
                <w:szCs w:val="17"/>
                <w:color w:val="0000FF"/>
              </w:rPr>
            </w:pPr>
            <w:hyperlink r:id="rId86">
              <w:r>
                <w:rPr>
                  <w:rFonts w:ascii="Arial" w:cs="Arial" w:eastAsia="Arial" w:hAnsi="Arial"/>
                  <w:sz w:val="17"/>
                  <w:szCs w:val="17"/>
                  <w:color w:val="0000FF"/>
                </w:rPr>
                <w:t>Offer Letter Agreement, dated July 20, 2023, between the Registrant and Ryan Benton (filed as Exhibit 10.6 of the Registrant's</w:t>
              </w:r>
            </w:hyperlink>
          </w:p>
        </w:tc>
      </w:tr>
      <w:tr>
        <w:trPr>
          <w:trHeight w:val="155"/>
        </w:trPr>
        <w:tc>
          <w:tcPr>
            <w:tcW w:w="13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2"/>
          </w:tcPr>
          <w:p>
            <w:pPr>
              <w:spacing w:after="0" w:line="155" w:lineRule="exact"/>
              <w:rPr>
                <w:rFonts w:ascii="Arial" w:cs="Arial" w:eastAsia="Arial" w:hAnsi="Arial"/>
                <w:sz w:val="17"/>
                <w:szCs w:val="17"/>
                <w:color w:val="0000FF"/>
              </w:rPr>
            </w:pPr>
            <w:hyperlink r:id="rId86">
              <w:r>
                <w:rPr>
                  <w:rFonts w:ascii="Arial" w:cs="Arial" w:eastAsia="Arial" w:hAnsi="Arial"/>
                  <w:sz w:val="17"/>
                  <w:szCs w:val="17"/>
                  <w:color w:val="0000FF"/>
                </w:rPr>
                <w:t>Registration Statement on Form S-1 filed with the Securities and Exchange Commission on April 12, 2024)</w:t>
              </w:r>
            </w:hyperlink>
          </w:p>
        </w:tc>
        <w:tc>
          <w:tcPr>
            <w:tcW w:w="15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324"/>
        </w:trPr>
        <w:tc>
          <w:tcPr>
            <w:tcW w:w="1320" w:type="dxa"/>
            <w:vAlign w:val="bottom"/>
          </w:tcPr>
          <w:p>
            <w:pPr>
              <w:ind w:left="20"/>
              <w:spacing w:after="0"/>
              <w:rPr>
                <w:sz w:val="20"/>
                <w:szCs w:val="20"/>
                <w:color w:val="auto"/>
              </w:rPr>
            </w:pPr>
            <w:r>
              <w:rPr>
                <w:rFonts w:ascii="Arial" w:cs="Arial" w:eastAsia="Arial" w:hAnsi="Arial"/>
                <w:sz w:val="17"/>
                <w:szCs w:val="17"/>
                <w:color w:val="auto"/>
              </w:rPr>
              <w:t>10.7</w:t>
            </w:r>
          </w:p>
        </w:tc>
        <w:tc>
          <w:tcPr>
            <w:tcW w:w="9540" w:type="dxa"/>
            <w:vAlign w:val="bottom"/>
            <w:tcBorders>
              <w:bottom w:val="single" w:sz="8" w:color="0000FF"/>
            </w:tcBorders>
            <w:gridSpan w:val="22"/>
          </w:tcPr>
          <w:p>
            <w:pPr>
              <w:spacing w:after="0"/>
              <w:rPr>
                <w:rFonts w:ascii="Arial" w:cs="Arial" w:eastAsia="Arial" w:hAnsi="Arial"/>
                <w:sz w:val="17"/>
                <w:szCs w:val="17"/>
                <w:color w:val="0000FF"/>
              </w:rPr>
            </w:pPr>
            <w:hyperlink r:id="rId87">
              <w:r>
                <w:rPr>
                  <w:rFonts w:ascii="Arial" w:cs="Arial" w:eastAsia="Arial" w:hAnsi="Arial"/>
                  <w:sz w:val="17"/>
                  <w:szCs w:val="17"/>
                  <w:color w:val="0000FF"/>
                </w:rPr>
                <w:t>Consulting Advisory Agreement, dated January 12, 2022, between the Registrant and Katherine S. Ngai-Pesic (filed as Exhibit</w:t>
              </w:r>
            </w:hyperlink>
          </w:p>
        </w:tc>
        <w:tc>
          <w:tcPr>
            <w:tcW w:w="340" w:type="dxa"/>
            <w:vAlign w:val="bottom"/>
            <w:gridSpan w:val="14"/>
          </w:tcPr>
          <w:p>
            <w:pPr>
              <w:spacing w:after="0"/>
              <w:rPr>
                <w:sz w:val="24"/>
                <w:szCs w:val="24"/>
                <w:color w:val="auto"/>
              </w:rPr>
            </w:pPr>
          </w:p>
        </w:tc>
      </w:tr>
      <w:tr>
        <w:trPr>
          <w:trHeight w:val="135"/>
        </w:trPr>
        <w:tc>
          <w:tcPr>
            <w:tcW w:w="1320" w:type="dxa"/>
            <w:vAlign w:val="bottom"/>
          </w:tcPr>
          <w:p>
            <w:pPr>
              <w:spacing w:after="0"/>
              <w:rPr>
                <w:sz w:val="11"/>
                <w:szCs w:val="11"/>
                <w:color w:val="auto"/>
              </w:rPr>
            </w:pPr>
          </w:p>
        </w:tc>
        <w:tc>
          <w:tcPr>
            <w:tcW w:w="8380" w:type="dxa"/>
            <w:vAlign w:val="bottom"/>
            <w:tcBorders>
              <w:bottom w:val="single" w:sz="8" w:color="0000FF"/>
            </w:tcBorders>
            <w:gridSpan w:val="13"/>
          </w:tcPr>
          <w:p>
            <w:pPr>
              <w:spacing w:after="0" w:line="136" w:lineRule="exact"/>
              <w:rPr>
                <w:rFonts w:ascii="Arial" w:cs="Arial" w:eastAsia="Arial" w:hAnsi="Arial"/>
                <w:sz w:val="15"/>
                <w:szCs w:val="15"/>
                <w:color w:val="0000FF"/>
              </w:rPr>
            </w:pPr>
            <w:hyperlink r:id="rId87">
              <w:r>
                <w:rPr>
                  <w:rFonts w:ascii="Arial" w:cs="Arial" w:eastAsia="Arial" w:hAnsi="Arial"/>
                  <w:sz w:val="15"/>
                  <w:szCs w:val="15"/>
                  <w:color w:val="0000FF"/>
                </w:rPr>
                <w:t>10.</w:t>
              </w:r>
              <w:r>
                <w:rPr>
                  <w:rFonts w:ascii="Arial" w:cs="Arial" w:eastAsia="Arial" w:hAnsi="Arial"/>
                  <w:sz w:val="15"/>
                  <w:szCs w:val="15"/>
                  <w:u w:val="single" w:color="auto"/>
                  <w:color w:val="0000FF"/>
                </w:rPr>
                <w:t>7</w:t>
              </w:r>
              <w:r>
                <w:rPr>
                  <w:rFonts w:ascii="Arial" w:cs="Arial" w:eastAsia="Arial" w:hAnsi="Arial"/>
                  <w:sz w:val="15"/>
                  <w:szCs w:val="15"/>
                  <w:color w:val="0000FF"/>
                </w:rPr>
                <w:t xml:space="preserve"> of the Registrant's Registration Statement on Form S-1 filed with the Securities and Exchange Commission</w:t>
              </w:r>
            </w:hyperlink>
          </w:p>
        </w:tc>
        <w:tc>
          <w:tcPr>
            <w:tcW w:w="60" w:type="dxa"/>
            <w:vAlign w:val="bottom"/>
            <w:tcBorders>
              <w:bottom w:val="single" w:sz="8" w:color="0000FF"/>
            </w:tcBorders>
          </w:tcPr>
          <w:p>
            <w:pPr>
              <w:spacing w:after="0"/>
              <w:rPr>
                <w:sz w:val="11"/>
                <w:szCs w:val="11"/>
                <w:color w:val="auto"/>
              </w:rPr>
            </w:pPr>
          </w:p>
        </w:tc>
        <w:tc>
          <w:tcPr>
            <w:tcW w:w="1420" w:type="dxa"/>
            <w:vAlign w:val="bottom"/>
            <w:tcBorders>
              <w:bottom w:val="single" w:sz="8" w:color="0000FF"/>
            </w:tcBorders>
            <w:gridSpan w:val="21"/>
          </w:tcPr>
          <w:p>
            <w:pPr>
              <w:ind w:left="60"/>
              <w:spacing w:after="0" w:line="136" w:lineRule="exact"/>
              <w:rPr>
                <w:rFonts w:ascii="Arial" w:cs="Arial" w:eastAsia="Arial" w:hAnsi="Arial"/>
                <w:sz w:val="15"/>
                <w:szCs w:val="15"/>
                <w:color w:val="0000FF"/>
              </w:rPr>
            </w:pPr>
            <w:hyperlink r:id="rId87">
              <w:r>
                <w:rPr>
                  <w:rFonts w:ascii="Arial" w:cs="Arial" w:eastAsia="Arial" w:hAnsi="Arial"/>
                  <w:sz w:val="15"/>
                  <w:szCs w:val="15"/>
                  <w:color w:val="0000FF"/>
                </w:rPr>
                <w:t>on April 12, 2024)</w:t>
              </w:r>
            </w:hyperlink>
          </w:p>
        </w:tc>
        <w:tc>
          <w:tcPr>
            <w:tcW w:w="20" w:type="dxa"/>
            <w:vAlign w:val="bottom"/>
          </w:tcPr>
          <w:p>
            <w:pPr>
              <w:spacing w:after="0"/>
              <w:rPr>
                <w:sz w:val="11"/>
                <w:szCs w:val="11"/>
                <w:color w:val="auto"/>
              </w:rPr>
            </w:pPr>
          </w:p>
        </w:tc>
      </w:tr>
      <w:tr>
        <w:trPr>
          <w:trHeight w:val="345"/>
        </w:trPr>
        <w:tc>
          <w:tcPr>
            <w:tcW w:w="1320" w:type="dxa"/>
            <w:vAlign w:val="bottom"/>
          </w:tcPr>
          <w:p>
            <w:pPr>
              <w:ind w:left="20"/>
              <w:spacing w:after="0"/>
              <w:rPr>
                <w:sz w:val="20"/>
                <w:szCs w:val="20"/>
                <w:color w:val="auto"/>
              </w:rPr>
            </w:pPr>
            <w:r>
              <w:rPr>
                <w:rFonts w:ascii="Arial" w:cs="Arial" w:eastAsia="Arial" w:hAnsi="Arial"/>
                <w:sz w:val="17"/>
                <w:szCs w:val="17"/>
                <w:color w:val="auto"/>
              </w:rPr>
              <w:t>10.8</w:t>
            </w:r>
          </w:p>
        </w:tc>
        <w:tc>
          <w:tcPr>
            <w:tcW w:w="9880" w:type="dxa"/>
            <w:vAlign w:val="bottom"/>
            <w:gridSpan w:val="36"/>
          </w:tcPr>
          <w:p>
            <w:pPr>
              <w:spacing w:after="0"/>
              <w:rPr>
                <w:rFonts w:ascii="Arial" w:cs="Arial" w:eastAsia="Arial" w:hAnsi="Arial"/>
                <w:sz w:val="17"/>
                <w:szCs w:val="17"/>
                <w:color w:val="0000FF"/>
              </w:rPr>
            </w:pPr>
            <w:hyperlink r:id="rId88">
              <w:r>
                <w:rPr>
                  <w:rFonts w:ascii="Arial" w:cs="Arial" w:eastAsia="Arial" w:hAnsi="Arial"/>
                  <w:sz w:val="17"/>
                  <w:szCs w:val="17"/>
                  <w:color w:val="0000FF"/>
                </w:rPr>
                <w:t>Consulting Advisory Agreement, dated January 12, 2022, between the Registrant and Iliya I. Pesic (filed as Exhibit 10.8 of the</w:t>
              </w:r>
            </w:hyperlink>
          </w:p>
        </w:tc>
      </w:tr>
      <w:tr>
        <w:trPr>
          <w:trHeight w:val="155"/>
        </w:trPr>
        <w:tc>
          <w:tcPr>
            <w:tcW w:w="132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6"/>
          </w:tcPr>
          <w:p>
            <w:pPr>
              <w:spacing w:after="0" w:line="155" w:lineRule="exact"/>
              <w:rPr>
                <w:rFonts w:ascii="Arial" w:cs="Arial" w:eastAsia="Arial" w:hAnsi="Arial"/>
                <w:sz w:val="17"/>
                <w:szCs w:val="17"/>
                <w:color w:val="0000FF"/>
              </w:rPr>
            </w:pPr>
            <w:hyperlink r:id="rId88">
              <w:r>
                <w:rPr>
                  <w:rFonts w:ascii="Arial" w:cs="Arial" w:eastAsia="Arial" w:hAnsi="Arial"/>
                  <w:sz w:val="17"/>
                  <w:szCs w:val="17"/>
                  <w:color w:val="0000FF"/>
                </w:rPr>
                <w:t>Registrant's Registration Statement on Form S-1 filed with the Securities and Exchange Commission on April 12, 2024)</w:t>
              </w:r>
            </w:hyperlink>
          </w:p>
        </w:tc>
        <w:tc>
          <w:tcPr>
            <w:tcW w:w="50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90"/>
        </w:trPr>
        <w:tc>
          <w:tcPr>
            <w:tcW w:w="1320" w:type="dxa"/>
            <w:vAlign w:val="bottom"/>
          </w:tcPr>
          <w:p>
            <w:pPr>
              <w:ind w:left="20"/>
              <w:spacing w:after="0"/>
              <w:rPr>
                <w:sz w:val="20"/>
                <w:szCs w:val="20"/>
                <w:color w:val="auto"/>
              </w:rPr>
            </w:pPr>
            <w:r>
              <w:rPr>
                <w:rFonts w:ascii="Arial" w:cs="Arial" w:eastAsia="Arial" w:hAnsi="Arial"/>
                <w:sz w:val="17"/>
                <w:szCs w:val="17"/>
                <w:color w:val="auto"/>
              </w:rPr>
              <w:t>10.9</w:t>
            </w:r>
          </w:p>
        </w:tc>
        <w:tc>
          <w:tcPr>
            <w:tcW w:w="9880" w:type="dxa"/>
            <w:vAlign w:val="bottom"/>
            <w:gridSpan w:val="36"/>
          </w:tcPr>
          <w:p>
            <w:pPr>
              <w:spacing w:after="0"/>
              <w:rPr>
                <w:rFonts w:ascii="Arial" w:cs="Arial" w:eastAsia="Arial" w:hAnsi="Arial"/>
                <w:sz w:val="17"/>
                <w:szCs w:val="17"/>
                <w:color w:val="0000FF"/>
              </w:rPr>
            </w:pPr>
            <w:hyperlink r:id="rId89">
              <w:r>
                <w:rPr>
                  <w:rFonts w:ascii="Arial" w:cs="Arial" w:eastAsia="Arial" w:hAnsi="Arial"/>
                  <w:sz w:val="17"/>
                  <w:szCs w:val="17"/>
                  <w:color w:val="0000FF"/>
                </w:rPr>
                <w:t>Amended and Restated Consulting Advisory Agreement, dated December 1, 2023, between the Registrant and Iliya I. Pesic (filed</w:t>
              </w:r>
            </w:hyperlink>
          </w:p>
        </w:tc>
      </w:tr>
      <w:tr>
        <w:trPr>
          <w:trHeight w:val="155"/>
        </w:trPr>
        <w:tc>
          <w:tcPr>
            <w:tcW w:w="1320" w:type="dxa"/>
            <w:vAlign w:val="bottom"/>
          </w:tcPr>
          <w:p>
            <w:pPr>
              <w:spacing w:after="0"/>
              <w:rPr>
                <w:sz w:val="13"/>
                <w:szCs w:val="13"/>
                <w:color w:val="auto"/>
              </w:rPr>
            </w:pPr>
          </w:p>
        </w:tc>
        <w:tc>
          <w:tcPr>
            <w:tcW w:w="9800" w:type="dxa"/>
            <w:vAlign w:val="bottom"/>
            <w:tcBorders>
              <w:top w:val="single" w:sz="8" w:color="0000FF"/>
            </w:tcBorders>
            <w:gridSpan w:val="33"/>
          </w:tcPr>
          <w:p>
            <w:pPr>
              <w:spacing w:after="0" w:line="155" w:lineRule="exact"/>
              <w:rPr>
                <w:rFonts w:ascii="Arial" w:cs="Arial" w:eastAsia="Arial" w:hAnsi="Arial"/>
                <w:sz w:val="17"/>
                <w:szCs w:val="17"/>
                <w:color w:val="0000FF"/>
              </w:rPr>
            </w:pPr>
            <w:hyperlink r:id="rId89">
              <w:r>
                <w:rPr>
                  <w:rFonts w:ascii="Arial" w:cs="Arial" w:eastAsia="Arial" w:hAnsi="Arial"/>
                  <w:sz w:val="17"/>
                  <w:szCs w:val="17"/>
                  <w:color w:val="0000FF"/>
                </w:rPr>
                <w:t>as Exhibit 10.9 of the Registrant's Registration Statement on Form S-1 filed with the Securities and Exchange Commission on</w:t>
              </w:r>
            </w:hyperlink>
          </w:p>
        </w:tc>
        <w:tc>
          <w:tcPr>
            <w:tcW w:w="80" w:type="dxa"/>
            <w:vAlign w:val="bottom"/>
            <w:gridSpan w:val="3"/>
          </w:tcPr>
          <w:p>
            <w:pPr>
              <w:spacing w:after="0"/>
              <w:rPr>
                <w:sz w:val="13"/>
                <w:szCs w:val="13"/>
                <w:color w:val="auto"/>
              </w:rPr>
            </w:pPr>
          </w:p>
        </w:tc>
      </w:tr>
      <w:tr>
        <w:trPr>
          <w:trHeight w:val="142"/>
        </w:trPr>
        <w:tc>
          <w:tcPr>
            <w:tcW w:w="1320" w:type="dxa"/>
            <w:vAlign w:val="bottom"/>
          </w:tcPr>
          <w:p>
            <w:pPr>
              <w:spacing w:after="0"/>
              <w:rPr>
                <w:sz w:val="12"/>
                <w:szCs w:val="12"/>
                <w:color w:val="auto"/>
              </w:rPr>
            </w:pPr>
          </w:p>
        </w:tc>
        <w:tc>
          <w:tcPr>
            <w:tcW w:w="11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89">
              <w:r>
                <w:rPr>
                  <w:rFonts w:ascii="Arial" w:cs="Arial" w:eastAsia="Arial" w:hAnsi="Arial"/>
                  <w:sz w:val="16"/>
                  <w:szCs w:val="16"/>
                  <w:color w:val="0000FF"/>
                </w:rPr>
                <w:t>April 12, 2024)</w:t>
              </w:r>
            </w:hyperlink>
          </w:p>
        </w:tc>
        <w:tc>
          <w:tcPr>
            <w:tcW w:w="8360" w:type="dxa"/>
            <w:vAlign w:val="bottom"/>
            <w:tcBorders>
              <w:top w:val="single" w:sz="8" w:color="0000FF"/>
            </w:tcBorders>
            <w:gridSpan w:val="18"/>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318"/>
        </w:trPr>
        <w:tc>
          <w:tcPr>
            <w:tcW w:w="1320" w:type="dxa"/>
            <w:vAlign w:val="bottom"/>
          </w:tcPr>
          <w:p>
            <w:pPr>
              <w:ind w:left="20"/>
              <w:spacing w:after="0"/>
              <w:rPr>
                <w:sz w:val="20"/>
                <w:szCs w:val="20"/>
                <w:color w:val="auto"/>
              </w:rPr>
            </w:pPr>
            <w:r>
              <w:rPr>
                <w:rFonts w:ascii="Arial" w:cs="Arial" w:eastAsia="Arial" w:hAnsi="Arial"/>
                <w:sz w:val="17"/>
                <w:szCs w:val="17"/>
                <w:color w:val="auto"/>
              </w:rPr>
              <w:t>10.10</w:t>
            </w:r>
          </w:p>
        </w:tc>
        <w:tc>
          <w:tcPr>
            <w:tcW w:w="9880" w:type="dxa"/>
            <w:vAlign w:val="bottom"/>
            <w:gridSpan w:val="36"/>
          </w:tcPr>
          <w:p>
            <w:pPr>
              <w:spacing w:after="0"/>
              <w:rPr>
                <w:rFonts w:ascii="Arial" w:cs="Arial" w:eastAsia="Arial" w:hAnsi="Arial"/>
                <w:sz w:val="17"/>
                <w:szCs w:val="17"/>
                <w:color w:val="0000FF"/>
              </w:rPr>
            </w:pPr>
            <w:hyperlink r:id="rId90">
              <w:r>
                <w:rPr>
                  <w:rFonts w:ascii="Arial" w:cs="Arial" w:eastAsia="Arial" w:hAnsi="Arial"/>
                  <w:sz w:val="17"/>
                  <w:szCs w:val="17"/>
                  <w:color w:val="0000FF"/>
                </w:rPr>
                <w:t>Consulting Advisory Agreement, dated December 1, 2023, between the Registrant and Iliya I. Pesic (filed as Exhibit 10.10 of the</w:t>
              </w:r>
            </w:hyperlink>
          </w:p>
        </w:tc>
      </w:tr>
      <w:tr>
        <w:trPr>
          <w:trHeight w:val="155"/>
        </w:trPr>
        <w:tc>
          <w:tcPr>
            <w:tcW w:w="132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6"/>
          </w:tcPr>
          <w:p>
            <w:pPr>
              <w:spacing w:after="0" w:line="155" w:lineRule="exact"/>
              <w:rPr>
                <w:rFonts w:ascii="Arial" w:cs="Arial" w:eastAsia="Arial" w:hAnsi="Arial"/>
                <w:sz w:val="17"/>
                <w:szCs w:val="17"/>
                <w:color w:val="0000FF"/>
              </w:rPr>
            </w:pPr>
            <w:hyperlink r:id="rId90">
              <w:r>
                <w:rPr>
                  <w:rFonts w:ascii="Arial" w:cs="Arial" w:eastAsia="Arial" w:hAnsi="Arial"/>
                  <w:sz w:val="17"/>
                  <w:szCs w:val="17"/>
                  <w:color w:val="0000FF"/>
                </w:rPr>
                <w:t>Registrant's Registration Statement on Form S-1 filed with the Securities and Exchange Commission on April 12, 2024)</w:t>
              </w:r>
            </w:hyperlink>
          </w:p>
        </w:tc>
        <w:tc>
          <w:tcPr>
            <w:tcW w:w="6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304"/>
        </w:trPr>
        <w:tc>
          <w:tcPr>
            <w:tcW w:w="1320" w:type="dxa"/>
            <w:vAlign w:val="bottom"/>
          </w:tcPr>
          <w:p>
            <w:pPr>
              <w:ind w:left="20"/>
              <w:spacing w:after="0"/>
              <w:rPr>
                <w:sz w:val="20"/>
                <w:szCs w:val="20"/>
                <w:color w:val="auto"/>
              </w:rPr>
            </w:pPr>
            <w:r>
              <w:rPr>
                <w:rFonts w:ascii="Arial" w:cs="Arial" w:eastAsia="Arial" w:hAnsi="Arial"/>
                <w:sz w:val="17"/>
                <w:szCs w:val="17"/>
                <w:color w:val="auto"/>
              </w:rPr>
              <w:t>10.11</w:t>
            </w:r>
          </w:p>
        </w:tc>
        <w:tc>
          <w:tcPr>
            <w:tcW w:w="9880" w:type="dxa"/>
            <w:vAlign w:val="bottom"/>
            <w:gridSpan w:val="36"/>
          </w:tcPr>
          <w:p>
            <w:pPr>
              <w:spacing w:after="0"/>
              <w:rPr>
                <w:rFonts w:ascii="Arial" w:cs="Arial" w:eastAsia="Arial" w:hAnsi="Arial"/>
                <w:sz w:val="17"/>
                <w:szCs w:val="17"/>
                <w:color w:val="0000FF"/>
              </w:rPr>
            </w:pPr>
            <w:hyperlink r:id="rId91">
              <w:r>
                <w:rPr>
                  <w:rFonts w:ascii="Arial" w:cs="Arial" w:eastAsia="Arial" w:hAnsi="Arial"/>
                  <w:sz w:val="17"/>
                  <w:szCs w:val="17"/>
                  <w:color w:val="0000FF"/>
                </w:rPr>
                <w:t>Offer Letter and Termination of Separation Agreement, dated November 23, 2021, between the Registrant and Dr. Babak A.</w:t>
              </w:r>
            </w:hyperlink>
          </w:p>
        </w:tc>
      </w:tr>
      <w:tr>
        <w:trPr>
          <w:trHeight w:val="156"/>
        </w:trPr>
        <w:tc>
          <w:tcPr>
            <w:tcW w:w="1320" w:type="dxa"/>
            <w:vAlign w:val="bottom"/>
          </w:tcPr>
          <w:p>
            <w:pPr>
              <w:spacing w:after="0"/>
              <w:rPr>
                <w:sz w:val="13"/>
                <w:szCs w:val="13"/>
                <w:color w:val="auto"/>
              </w:rPr>
            </w:pPr>
          </w:p>
        </w:tc>
        <w:tc>
          <w:tcPr>
            <w:tcW w:w="9340" w:type="dxa"/>
            <w:vAlign w:val="bottom"/>
            <w:tcBorders>
              <w:top w:val="single" w:sz="8" w:color="0000FF"/>
            </w:tcBorders>
            <w:gridSpan w:val="18"/>
          </w:tcPr>
          <w:p>
            <w:pPr>
              <w:spacing w:after="0" w:line="155" w:lineRule="exact"/>
              <w:rPr>
                <w:rFonts w:ascii="Arial" w:cs="Arial" w:eastAsia="Arial" w:hAnsi="Arial"/>
                <w:sz w:val="17"/>
                <w:szCs w:val="17"/>
                <w:color w:val="0000FF"/>
              </w:rPr>
            </w:pPr>
            <w:hyperlink r:id="rId91">
              <w:r>
                <w:rPr>
                  <w:rFonts w:ascii="Arial" w:cs="Arial" w:eastAsia="Arial" w:hAnsi="Arial"/>
                  <w:sz w:val="17"/>
                  <w:szCs w:val="17"/>
                  <w:color w:val="0000FF"/>
                </w:rPr>
                <w:t>Taheri, as amended by the Amendment to the Offer Letter and Termination of Separation Agreement, dated November 16,</w:t>
              </w:r>
            </w:hyperlink>
          </w:p>
        </w:tc>
        <w:tc>
          <w:tcPr>
            <w:tcW w:w="360" w:type="dxa"/>
            <w:vAlign w:val="bottom"/>
            <w:gridSpan w:val="10"/>
          </w:tcPr>
          <w:p>
            <w:pPr>
              <w:jc w:val="right"/>
              <w:ind w:right="60"/>
              <w:spacing w:after="0" w:line="155" w:lineRule="exact"/>
              <w:rPr>
                <w:rFonts w:ascii="Arial" w:cs="Arial" w:eastAsia="Arial" w:hAnsi="Arial"/>
                <w:sz w:val="17"/>
                <w:szCs w:val="17"/>
                <w:color w:val="0000FF"/>
                <w:w w:val="73"/>
              </w:rPr>
            </w:pPr>
            <w:hyperlink r:id="rId91">
              <w:r>
                <w:rPr>
                  <w:rFonts w:ascii="Arial" w:cs="Arial" w:eastAsia="Arial" w:hAnsi="Arial"/>
                  <w:sz w:val="17"/>
                  <w:szCs w:val="17"/>
                  <w:color w:val="0000FF"/>
                  <w:w w:val="73"/>
                </w:rPr>
                <w:t>2022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42"/>
        </w:trPr>
        <w:tc>
          <w:tcPr>
            <w:tcW w:w="13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91">
              <w:r>
                <w:rPr>
                  <w:rFonts w:ascii="Arial" w:cs="Arial" w:eastAsia="Arial" w:hAnsi="Arial"/>
                  <w:sz w:val="16"/>
                  <w:szCs w:val="16"/>
                  <w:color w:val="0000FF"/>
                </w:rPr>
                <w:t>(filed as Exhibit 10.11 of the Registrant's Registration Statement on Form S-1 filed with the Securities and Exchange Commission</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156"/>
        </w:trPr>
        <w:tc>
          <w:tcPr>
            <w:tcW w:w="1320" w:type="dxa"/>
            <w:vAlign w:val="bottom"/>
          </w:tcPr>
          <w:p>
            <w:pPr>
              <w:spacing w:after="0"/>
              <w:rPr>
                <w:sz w:val="13"/>
                <w:szCs w:val="13"/>
                <w:color w:val="auto"/>
              </w:rPr>
            </w:pPr>
          </w:p>
        </w:tc>
        <w:tc>
          <w:tcPr>
            <w:tcW w:w="9760" w:type="dxa"/>
            <w:vAlign w:val="bottom"/>
            <w:gridSpan w:val="31"/>
          </w:tcPr>
          <w:p>
            <w:pPr>
              <w:spacing w:after="0" w:line="155" w:lineRule="exact"/>
              <w:rPr>
                <w:rFonts w:ascii="Arial" w:cs="Arial" w:eastAsia="Arial" w:hAnsi="Arial"/>
                <w:sz w:val="17"/>
                <w:szCs w:val="17"/>
                <w:color w:val="0000FF"/>
              </w:rPr>
            </w:pPr>
            <w:hyperlink r:id="rId91">
              <w:r>
                <w:rPr>
                  <w:rFonts w:ascii="Arial" w:cs="Arial" w:eastAsia="Arial" w:hAnsi="Arial"/>
                  <w:sz w:val="17"/>
                  <w:szCs w:val="17"/>
                  <w:color w:val="0000FF"/>
                </w:rPr>
                <w:t>on April 12, 2024)</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960" w:type="dxa"/>
            <w:vAlign w:val="bottom"/>
            <w:gridSpan w:val="11"/>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7"/>
        </w:trPr>
        <w:tc>
          <w:tcPr>
            <w:tcW w:w="1320" w:type="dxa"/>
            <w:vAlign w:val="bottom"/>
          </w:tcPr>
          <w:p>
            <w:pPr>
              <w:ind w:left="20"/>
              <w:spacing w:after="0"/>
              <w:rPr>
                <w:sz w:val="20"/>
                <w:szCs w:val="20"/>
                <w:color w:val="auto"/>
              </w:rPr>
            </w:pPr>
            <w:r>
              <w:rPr>
                <w:rFonts w:ascii="Arial" w:cs="Arial" w:eastAsia="Arial" w:hAnsi="Arial"/>
                <w:sz w:val="17"/>
                <w:szCs w:val="17"/>
                <w:color w:val="auto"/>
              </w:rPr>
              <w:t>10.12</w:t>
            </w:r>
          </w:p>
        </w:tc>
        <w:tc>
          <w:tcPr>
            <w:tcW w:w="9880" w:type="dxa"/>
            <w:vAlign w:val="bottom"/>
            <w:gridSpan w:val="36"/>
          </w:tcPr>
          <w:p>
            <w:pPr>
              <w:spacing w:after="0"/>
              <w:rPr>
                <w:rFonts w:ascii="Arial" w:cs="Arial" w:eastAsia="Arial" w:hAnsi="Arial"/>
                <w:sz w:val="17"/>
                <w:szCs w:val="17"/>
                <w:color w:val="0000FF"/>
              </w:rPr>
            </w:pPr>
            <w:hyperlink r:id="rId92">
              <w:r>
                <w:rPr>
                  <w:rFonts w:ascii="Arial" w:cs="Arial" w:eastAsia="Arial" w:hAnsi="Arial"/>
                  <w:sz w:val="17"/>
                  <w:szCs w:val="17"/>
                  <w:color w:val="0000FF"/>
                </w:rPr>
                <w:t>Separation Agreement and Release, dated September 1, 2021, between the Registrant and Dr. Babak A. Taheri</w:t>
              </w:r>
            </w:hyperlink>
          </w:p>
        </w:tc>
      </w:tr>
      <w:tr>
        <w:trPr>
          <w:trHeight w:val="20"/>
        </w:trPr>
        <w:tc>
          <w:tcPr>
            <w:tcW w:w="132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4960" w:type="dxa"/>
            <w:vAlign w:val="bottom"/>
            <w:gridSpan w:val="11"/>
            <w:shd w:val="clear" w:color="auto" w:fill="0000FF"/>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8"/>
        </w:trPr>
        <w:tc>
          <w:tcPr>
            <w:tcW w:w="1320" w:type="dxa"/>
            <w:vAlign w:val="bottom"/>
          </w:tcPr>
          <w:p>
            <w:pPr>
              <w:ind w:left="20"/>
              <w:spacing w:after="0"/>
              <w:rPr>
                <w:sz w:val="20"/>
                <w:szCs w:val="20"/>
                <w:color w:val="auto"/>
              </w:rPr>
            </w:pPr>
            <w:r>
              <w:rPr>
                <w:rFonts w:ascii="Arial" w:cs="Arial" w:eastAsia="Arial" w:hAnsi="Arial"/>
                <w:sz w:val="17"/>
                <w:szCs w:val="17"/>
                <w:color w:val="auto"/>
              </w:rPr>
              <w:t>10.13</w:t>
            </w:r>
          </w:p>
        </w:tc>
        <w:tc>
          <w:tcPr>
            <w:tcW w:w="9880" w:type="dxa"/>
            <w:vAlign w:val="bottom"/>
            <w:gridSpan w:val="36"/>
          </w:tcPr>
          <w:p>
            <w:pPr>
              <w:spacing w:after="0"/>
              <w:rPr>
                <w:rFonts w:ascii="Arial" w:cs="Arial" w:eastAsia="Arial" w:hAnsi="Arial"/>
                <w:sz w:val="17"/>
                <w:szCs w:val="17"/>
                <w:color w:val="0000FF"/>
              </w:rPr>
            </w:pPr>
            <w:hyperlink r:id="rId93">
              <w:r>
                <w:rPr>
                  <w:rFonts w:ascii="Arial" w:cs="Arial" w:eastAsia="Arial" w:hAnsi="Arial"/>
                  <w:sz w:val="17"/>
                  <w:szCs w:val="17"/>
                  <w:color w:val="0000FF"/>
                </w:rPr>
                <w:t>Amended and Restated Employment Agreement, dated February 29, 2024, between the Registrant and Dr. Babak A. Taheri (filed</w:t>
              </w:r>
            </w:hyperlink>
          </w:p>
        </w:tc>
      </w:tr>
      <w:tr>
        <w:trPr>
          <w:trHeight w:val="156"/>
        </w:trPr>
        <w:tc>
          <w:tcPr>
            <w:tcW w:w="1320" w:type="dxa"/>
            <w:vAlign w:val="bottom"/>
          </w:tcPr>
          <w:p>
            <w:pPr>
              <w:spacing w:after="0"/>
              <w:rPr>
                <w:sz w:val="13"/>
                <w:szCs w:val="13"/>
                <w:color w:val="auto"/>
              </w:rPr>
            </w:pPr>
          </w:p>
        </w:tc>
        <w:tc>
          <w:tcPr>
            <w:tcW w:w="9780" w:type="dxa"/>
            <w:vAlign w:val="bottom"/>
            <w:tcBorders>
              <w:top w:val="single" w:sz="8" w:color="0000FF"/>
            </w:tcBorders>
            <w:gridSpan w:val="32"/>
          </w:tcPr>
          <w:p>
            <w:pPr>
              <w:spacing w:after="0" w:line="155" w:lineRule="exact"/>
              <w:rPr>
                <w:rFonts w:ascii="Arial" w:cs="Arial" w:eastAsia="Arial" w:hAnsi="Arial"/>
                <w:sz w:val="17"/>
                <w:szCs w:val="17"/>
                <w:color w:val="0000FF"/>
              </w:rPr>
            </w:pPr>
            <w:hyperlink r:id="rId93">
              <w:r>
                <w:rPr>
                  <w:rFonts w:ascii="Arial" w:cs="Arial" w:eastAsia="Arial" w:hAnsi="Arial"/>
                  <w:sz w:val="17"/>
                  <w:szCs w:val="17"/>
                  <w:color w:val="0000FF"/>
                </w:rPr>
                <w:t>as Exhibit 10.13 of the Registrant's Registration Statement on Form S-1 filed with the Securities and Exchange Commission on</w:t>
              </w:r>
            </w:hyperlink>
          </w:p>
        </w:tc>
        <w:tc>
          <w:tcPr>
            <w:tcW w:w="100" w:type="dxa"/>
            <w:vAlign w:val="bottom"/>
            <w:gridSpan w:val="4"/>
          </w:tcPr>
          <w:p>
            <w:pPr>
              <w:spacing w:after="0"/>
              <w:rPr>
                <w:sz w:val="13"/>
                <w:szCs w:val="13"/>
                <w:color w:val="auto"/>
              </w:rPr>
            </w:pPr>
          </w:p>
        </w:tc>
      </w:tr>
      <w:tr>
        <w:trPr>
          <w:trHeight w:val="142"/>
        </w:trPr>
        <w:tc>
          <w:tcPr>
            <w:tcW w:w="1320" w:type="dxa"/>
            <w:vAlign w:val="bottom"/>
          </w:tcPr>
          <w:p>
            <w:pPr>
              <w:spacing w:after="0"/>
              <w:rPr>
                <w:sz w:val="12"/>
                <w:szCs w:val="12"/>
                <w:color w:val="auto"/>
              </w:rPr>
            </w:pPr>
          </w:p>
        </w:tc>
        <w:tc>
          <w:tcPr>
            <w:tcW w:w="11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April 12, 2024)</w:t>
              </w:r>
            </w:hyperlink>
          </w:p>
        </w:tc>
        <w:tc>
          <w:tcPr>
            <w:tcW w:w="8460" w:type="dxa"/>
            <w:vAlign w:val="bottom"/>
            <w:tcBorders>
              <w:top w:val="single" w:sz="8" w:color="0000FF"/>
            </w:tcBorders>
            <w:gridSpan w:val="23"/>
          </w:tcPr>
          <w:p>
            <w:pPr>
              <w:spacing w:after="0"/>
              <w:rPr>
                <w:sz w:val="12"/>
                <w:szCs w:val="12"/>
                <w:color w:val="auto"/>
              </w:rPr>
            </w:pPr>
          </w:p>
        </w:tc>
        <w:tc>
          <w:tcPr>
            <w:tcW w:w="120" w:type="dxa"/>
            <w:vAlign w:val="bottom"/>
            <w:gridSpan w:val="4"/>
          </w:tcPr>
          <w:p>
            <w:pPr>
              <w:spacing w:after="0"/>
              <w:rPr>
                <w:sz w:val="12"/>
                <w:szCs w:val="12"/>
                <w:color w:val="auto"/>
              </w:rPr>
            </w:pPr>
          </w:p>
        </w:tc>
        <w:tc>
          <w:tcPr>
            <w:tcW w:w="180" w:type="dxa"/>
            <w:vAlign w:val="bottom"/>
            <w:gridSpan w:val="8"/>
          </w:tcPr>
          <w:p>
            <w:pPr>
              <w:spacing w:after="0"/>
              <w:rPr>
                <w:sz w:val="12"/>
                <w:szCs w:val="12"/>
                <w:color w:val="auto"/>
              </w:rPr>
            </w:pPr>
          </w:p>
        </w:tc>
      </w:tr>
      <w:tr>
        <w:trPr>
          <w:trHeight w:val="318"/>
        </w:trPr>
        <w:tc>
          <w:tcPr>
            <w:tcW w:w="1320" w:type="dxa"/>
            <w:vAlign w:val="bottom"/>
          </w:tcPr>
          <w:p>
            <w:pPr>
              <w:ind w:left="20"/>
              <w:spacing w:after="0"/>
              <w:rPr>
                <w:sz w:val="20"/>
                <w:szCs w:val="20"/>
                <w:color w:val="auto"/>
              </w:rPr>
            </w:pPr>
            <w:r>
              <w:rPr>
                <w:rFonts w:ascii="Arial" w:cs="Arial" w:eastAsia="Arial" w:hAnsi="Arial"/>
                <w:sz w:val="17"/>
                <w:szCs w:val="17"/>
                <w:color w:val="auto"/>
              </w:rPr>
              <w:t>10.14</w:t>
            </w:r>
          </w:p>
        </w:tc>
        <w:tc>
          <w:tcPr>
            <w:tcW w:w="9880" w:type="dxa"/>
            <w:vAlign w:val="bottom"/>
            <w:gridSpan w:val="36"/>
          </w:tcPr>
          <w:p>
            <w:pPr>
              <w:spacing w:after="0"/>
              <w:rPr>
                <w:rFonts w:ascii="Arial" w:cs="Arial" w:eastAsia="Arial" w:hAnsi="Arial"/>
                <w:sz w:val="17"/>
                <w:szCs w:val="17"/>
                <w:color w:val="0000FF"/>
              </w:rPr>
            </w:pPr>
            <w:hyperlink r:id="rId94">
              <w:r>
                <w:rPr>
                  <w:rFonts w:ascii="Arial" w:cs="Arial" w:eastAsia="Arial" w:hAnsi="Arial"/>
                  <w:sz w:val="17"/>
                  <w:szCs w:val="17"/>
                  <w:color w:val="0000FF"/>
                </w:rPr>
                <w:t>Executive Severance Plan (filed as Exhibit 10.17 of the Registrant's Registration Statement on Form S-1 filed with the Securities</w:t>
              </w:r>
            </w:hyperlink>
          </w:p>
        </w:tc>
      </w:tr>
      <w:tr>
        <w:trPr>
          <w:trHeight w:val="156"/>
        </w:trPr>
        <w:tc>
          <w:tcPr>
            <w:tcW w:w="13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3"/>
          </w:tcPr>
          <w:p>
            <w:pPr>
              <w:spacing w:after="0" w:line="155" w:lineRule="exact"/>
              <w:rPr>
                <w:rFonts w:ascii="Arial" w:cs="Arial" w:eastAsia="Arial" w:hAnsi="Arial"/>
                <w:sz w:val="17"/>
                <w:szCs w:val="17"/>
                <w:color w:val="0000FF"/>
              </w:rPr>
            </w:pPr>
            <w:hyperlink r:id="rId94">
              <w:r>
                <w:rPr>
                  <w:rFonts w:ascii="Arial" w:cs="Arial" w:eastAsia="Arial" w:hAnsi="Arial"/>
                  <w:sz w:val="17"/>
                  <w:szCs w:val="17"/>
                  <w:color w:val="0000FF"/>
                </w:rPr>
                <w:t>and Exchange Commission on April 12, 2024)</w:t>
              </w:r>
            </w:hyperlink>
          </w:p>
        </w:tc>
        <w:tc>
          <w:tcPr>
            <w:tcW w:w="6220" w:type="dxa"/>
            <w:vAlign w:val="bottom"/>
            <w:tcBorders>
              <w:top w:val="single" w:sz="8" w:color="0000FF"/>
            </w:tcBorders>
            <w:gridSpan w:val="25"/>
          </w:tcPr>
          <w:p>
            <w:pPr>
              <w:spacing w:after="0"/>
              <w:rPr>
                <w:sz w:val="13"/>
                <w:szCs w:val="13"/>
                <w:color w:val="auto"/>
              </w:rPr>
            </w:pPr>
          </w:p>
        </w:tc>
        <w:tc>
          <w:tcPr>
            <w:tcW w:w="180" w:type="dxa"/>
            <w:vAlign w:val="bottom"/>
            <w:gridSpan w:val="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60" w:type="dxa"/>
            <w:vAlign w:val="bottom"/>
            <w:gridSpan w:val="3"/>
          </w:tcPr>
          <w:p>
            <w:pPr>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860" w:type="dxa"/>
            <w:vAlign w:val="bottom"/>
          </w:tcPr>
          <w:p>
            <w:pPr>
              <w:spacing w:after="0"/>
              <w:rPr>
                <w:sz w:val="16"/>
                <w:szCs w:val="16"/>
                <w:color w:val="auto"/>
              </w:rPr>
            </w:pPr>
          </w:p>
        </w:tc>
        <w:tc>
          <w:tcPr>
            <w:tcW w:w="9680" w:type="dxa"/>
            <w:vAlign w:val="bottom"/>
            <w:gridSpan w:val="7"/>
          </w:tcPr>
          <w:p>
            <w:pPr>
              <w:spacing w:after="0"/>
              <w:rPr>
                <w:sz w:val="20"/>
                <w:szCs w:val="20"/>
                <w:color w:val="auto"/>
              </w:rPr>
            </w:pPr>
            <w:r>
              <w:rPr>
                <w:rFonts w:ascii="Arial" w:cs="Arial" w:eastAsia="Arial" w:hAnsi="Arial"/>
                <w:sz w:val="17"/>
                <w:szCs w:val="17"/>
                <w:color w:val="0000FF"/>
              </w:rPr>
              <w:t>Certification of Principal Executive Officer pursuant to Exchange Act Rules 13a-14(a) and 15d-14(a), as adopted pursuant to</w:t>
            </w: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3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Section 302 of the Sarbanes-Oxley Act of 2002.</w:t>
            </w:r>
          </w:p>
        </w:tc>
        <w:tc>
          <w:tcPr>
            <w:tcW w:w="34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5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412"/>
        </w:trPr>
        <w:tc>
          <w:tcPr>
            <w:tcW w:w="460" w:type="dxa"/>
            <w:vAlign w:val="bottom"/>
            <w:gridSpan w:val="3"/>
          </w:tcPr>
          <w:p>
            <w:pPr>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r>
              <w:rPr>
                <w:rFonts w:ascii="Arial" w:cs="Arial" w:eastAsia="Arial" w:hAnsi="Arial"/>
                <w:sz w:val="17"/>
                <w:szCs w:val="17"/>
                <w:color w:val="000000"/>
              </w:rPr>
              <w:t>*</w:t>
            </w:r>
          </w:p>
        </w:tc>
        <w:tc>
          <w:tcPr>
            <w:tcW w:w="86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Arial" w:cs="Arial" w:eastAsia="Arial" w:hAnsi="Arial"/>
                <w:sz w:val="17"/>
                <w:szCs w:val="17"/>
                <w:color w:val="0000FF"/>
              </w:rPr>
              <w:t>Certification of Principal Financial Officer pursuant to Exchange Act Rules 13a-14(a) and 15d-14(a), as adopted pursuant to</w:t>
            </w: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30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302 of the Sarbanes-Oxley Act of 2002</w:t>
            </w:r>
            <w:r>
              <w:rPr>
                <w:rFonts w:ascii="Arial" w:cs="Arial" w:eastAsia="Arial" w:hAnsi="Arial"/>
                <w:sz w:val="16"/>
                <w:szCs w:val="16"/>
                <w:color w:val="000000"/>
              </w:rPr>
              <w:t>.</w:t>
            </w:r>
          </w:p>
        </w:tc>
        <w:tc>
          <w:tcPr>
            <w:tcW w:w="380" w:type="dxa"/>
            <w:vAlign w:val="bottom"/>
            <w:gridSpan w:val="2"/>
          </w:tcPr>
          <w:p>
            <w:pPr>
              <w:spacing w:after="0"/>
              <w:rPr>
                <w:sz w:val="12"/>
                <w:szCs w:val="12"/>
                <w:color w:val="auto"/>
              </w:rPr>
            </w:pPr>
          </w:p>
        </w:tc>
      </w:tr>
      <w:tr>
        <w:trPr>
          <w:trHeight w:val="20"/>
        </w:trPr>
        <w:tc>
          <w:tcPr>
            <w:tcW w:w="46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412"/>
        </w:trPr>
        <w:tc>
          <w:tcPr>
            <w:tcW w:w="1320" w:type="dxa"/>
            <w:vAlign w:val="bottom"/>
            <w:gridSpan w:val="4"/>
          </w:tcPr>
          <w:p>
            <w:pPr>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9680" w:type="dxa"/>
            <w:vAlign w:val="bottom"/>
            <w:gridSpan w:val="7"/>
          </w:tcPr>
          <w:p>
            <w:pPr>
              <w:spacing w:after="0"/>
              <w:rPr>
                <w:sz w:val="20"/>
                <w:szCs w:val="20"/>
                <w:color w:val="auto"/>
              </w:rPr>
            </w:pPr>
            <w:r>
              <w:rPr>
                <w:rFonts w:ascii="Arial" w:cs="Arial" w:eastAsia="Arial" w:hAnsi="Arial"/>
                <w:sz w:val="17"/>
                <w:szCs w:val="17"/>
                <w:color w:val="0000FF"/>
              </w:rPr>
              <w:t>Certification of Principal Executive Officer pursuant to 18 U.S.C. Section 1350, as adopted pursuant to Section 906 of the</w:t>
            </w: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912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Sarbanes-Oxley Act of 2002.</w:t>
            </w:r>
          </w:p>
        </w:tc>
        <w:tc>
          <w:tcPr>
            <w:tcW w:w="560" w:type="dxa"/>
            <w:vAlign w:val="bottom"/>
            <w:gridSpan w:val="3"/>
          </w:tcPr>
          <w:p>
            <w:pPr>
              <w:spacing w:after="0"/>
              <w:rPr>
                <w:sz w:val="12"/>
                <w:szCs w:val="12"/>
                <w:color w:val="auto"/>
              </w:rPr>
            </w:pPr>
          </w:p>
        </w:tc>
      </w:tr>
      <w:tr>
        <w:trPr>
          <w:trHeight w:val="20"/>
        </w:trPr>
        <w:tc>
          <w:tcPr>
            <w:tcW w:w="1320" w:type="dxa"/>
            <w:vAlign w:val="bottom"/>
            <w:tcBorders>
              <w:right w:val="single" w:sz="8" w:color="0000FF"/>
            </w:tcBorders>
            <w:gridSpan w:val="4"/>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412"/>
        </w:trPr>
        <w:tc>
          <w:tcPr>
            <w:tcW w:w="1320" w:type="dxa"/>
            <w:vAlign w:val="bottom"/>
            <w:gridSpan w:val="4"/>
          </w:tcPr>
          <w:p>
            <w:pPr>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2**</w:t>
            </w:r>
          </w:p>
        </w:tc>
        <w:tc>
          <w:tcPr>
            <w:tcW w:w="9680" w:type="dxa"/>
            <w:vAlign w:val="bottom"/>
            <w:gridSpan w:val="7"/>
          </w:tcPr>
          <w:p>
            <w:pPr>
              <w:spacing w:after="0"/>
              <w:rPr>
                <w:sz w:val="20"/>
                <w:szCs w:val="20"/>
                <w:color w:val="auto"/>
              </w:rPr>
            </w:pPr>
            <w:r>
              <w:rPr>
                <w:rFonts w:ascii="Arial" w:cs="Arial" w:eastAsia="Arial" w:hAnsi="Arial"/>
                <w:sz w:val="17"/>
                <w:szCs w:val="17"/>
                <w:color w:val="0000FF"/>
              </w:rPr>
              <w:t>Certification of Principal Financial Officer pursuant to 18 U.S.C. Section 1350, as adopted pursuant to Section 906 of the</w:t>
            </w:r>
          </w:p>
        </w:tc>
      </w:tr>
      <w:tr>
        <w:trPr>
          <w:trHeight w:val="142"/>
        </w:trPr>
        <w:tc>
          <w:tcPr>
            <w:tcW w:w="3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906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Sarbanes-Oxley Act of 2002.</w:t>
            </w:r>
          </w:p>
        </w:tc>
        <w:tc>
          <w:tcPr>
            <w:tcW w:w="620" w:type="dxa"/>
            <w:vAlign w:val="bottom"/>
            <w:gridSpan w:val="4"/>
          </w:tcPr>
          <w:p>
            <w:pPr>
              <w:spacing w:after="0"/>
              <w:rPr>
                <w:sz w:val="12"/>
                <w:szCs w:val="12"/>
                <w:color w:val="auto"/>
              </w:rPr>
            </w:pPr>
          </w:p>
        </w:tc>
      </w:tr>
      <w:tr>
        <w:trPr>
          <w:trHeight w:val="20"/>
        </w:trPr>
        <w:tc>
          <w:tcPr>
            <w:tcW w:w="1320" w:type="dxa"/>
            <w:vAlign w:val="bottom"/>
            <w:tcBorders>
              <w:right w:val="single" w:sz="8" w:color="0000FF"/>
            </w:tcBorders>
            <w:gridSpan w:val="4"/>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r>
      <w:tr>
        <w:trPr>
          <w:trHeight w:val="398"/>
        </w:trPr>
        <w:tc>
          <w:tcPr>
            <w:tcW w:w="1320" w:type="dxa"/>
            <w:vAlign w:val="bottom"/>
            <w:gridSpan w:val="4"/>
          </w:tcPr>
          <w:p>
            <w:pPr>
              <w:spacing w:after="0"/>
              <w:rPr>
                <w:sz w:val="20"/>
                <w:szCs w:val="20"/>
                <w:color w:val="auto"/>
              </w:rPr>
            </w:pPr>
            <w:r>
              <w:rPr>
                <w:rFonts w:ascii="Arial" w:cs="Arial" w:eastAsia="Arial" w:hAnsi="Arial"/>
                <w:sz w:val="17"/>
                <w:szCs w:val="17"/>
                <w:color w:val="auto"/>
              </w:rPr>
              <w:t>101.INS **</w:t>
            </w:r>
          </w:p>
        </w:tc>
        <w:tc>
          <w:tcPr>
            <w:tcW w:w="9680" w:type="dxa"/>
            <w:vAlign w:val="bottom"/>
            <w:gridSpan w:val="7"/>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r>
      <w:tr>
        <w:trPr>
          <w:trHeight w:val="221"/>
        </w:trPr>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80" w:type="dxa"/>
            <w:vAlign w:val="bottom"/>
            <w:gridSpan w:val="7"/>
          </w:tcPr>
          <w:p>
            <w:pPr>
              <w:spacing w:after="0"/>
              <w:rPr>
                <w:sz w:val="20"/>
                <w:szCs w:val="20"/>
                <w:color w:val="auto"/>
              </w:rPr>
            </w:pPr>
            <w:r>
              <w:rPr>
                <w:rFonts w:ascii="Arial" w:cs="Arial" w:eastAsia="Arial" w:hAnsi="Arial"/>
                <w:sz w:val="17"/>
                <w:szCs w:val="17"/>
                <w:color w:val="auto"/>
              </w:rPr>
              <w:t>embedded within the Inline XBRL document.</w:t>
            </w:r>
          </w:p>
        </w:tc>
      </w:tr>
      <w:tr>
        <w:trPr>
          <w:trHeight w:val="225"/>
        </w:trPr>
        <w:tc>
          <w:tcPr>
            <w:tcW w:w="1320" w:type="dxa"/>
            <w:vAlign w:val="bottom"/>
            <w:gridSpan w:val="4"/>
          </w:tcPr>
          <w:p>
            <w:pPr>
              <w:spacing w:after="0"/>
              <w:rPr>
                <w:sz w:val="20"/>
                <w:szCs w:val="20"/>
                <w:color w:val="auto"/>
              </w:rPr>
            </w:pPr>
            <w:r>
              <w:rPr>
                <w:rFonts w:ascii="Arial" w:cs="Arial" w:eastAsia="Arial" w:hAnsi="Arial"/>
                <w:sz w:val="17"/>
                <w:szCs w:val="17"/>
                <w:color w:val="auto"/>
              </w:rPr>
              <w:t>101.SCH **</w:t>
            </w:r>
          </w:p>
        </w:tc>
        <w:tc>
          <w:tcPr>
            <w:tcW w:w="9680" w:type="dxa"/>
            <w:vAlign w:val="bottom"/>
            <w:gridSpan w:val="7"/>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30"/>
        </w:trPr>
        <w:tc>
          <w:tcPr>
            <w:tcW w:w="1320" w:type="dxa"/>
            <w:vAlign w:val="bottom"/>
            <w:gridSpan w:val="4"/>
          </w:tcPr>
          <w:p>
            <w:pPr>
              <w:spacing w:after="0"/>
              <w:rPr>
                <w:sz w:val="20"/>
                <w:szCs w:val="20"/>
                <w:color w:val="auto"/>
              </w:rPr>
            </w:pPr>
            <w:r>
              <w:rPr>
                <w:rFonts w:ascii="Arial" w:cs="Arial" w:eastAsia="Arial" w:hAnsi="Arial"/>
                <w:sz w:val="17"/>
                <w:szCs w:val="17"/>
                <w:color w:val="auto"/>
              </w:rPr>
              <w:t>101.CAL **</w:t>
            </w:r>
          </w:p>
        </w:tc>
        <w:tc>
          <w:tcPr>
            <w:tcW w:w="9680" w:type="dxa"/>
            <w:vAlign w:val="bottom"/>
            <w:gridSpan w:val="7"/>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29"/>
        </w:trPr>
        <w:tc>
          <w:tcPr>
            <w:tcW w:w="1320" w:type="dxa"/>
            <w:vAlign w:val="bottom"/>
            <w:gridSpan w:val="4"/>
          </w:tcPr>
          <w:p>
            <w:pPr>
              <w:spacing w:after="0"/>
              <w:rPr>
                <w:sz w:val="20"/>
                <w:szCs w:val="20"/>
                <w:color w:val="auto"/>
              </w:rPr>
            </w:pPr>
            <w:r>
              <w:rPr>
                <w:rFonts w:ascii="Arial" w:cs="Arial" w:eastAsia="Arial" w:hAnsi="Arial"/>
                <w:sz w:val="17"/>
                <w:szCs w:val="17"/>
                <w:color w:val="auto"/>
              </w:rPr>
              <w:t>101.DEF **</w:t>
            </w:r>
          </w:p>
        </w:tc>
        <w:tc>
          <w:tcPr>
            <w:tcW w:w="9680" w:type="dxa"/>
            <w:vAlign w:val="bottom"/>
            <w:gridSpan w:val="7"/>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30"/>
        </w:trPr>
        <w:tc>
          <w:tcPr>
            <w:tcW w:w="1320" w:type="dxa"/>
            <w:vAlign w:val="bottom"/>
            <w:gridSpan w:val="4"/>
          </w:tcPr>
          <w:p>
            <w:pPr>
              <w:spacing w:after="0"/>
              <w:rPr>
                <w:sz w:val="20"/>
                <w:szCs w:val="20"/>
                <w:color w:val="auto"/>
              </w:rPr>
            </w:pPr>
            <w:r>
              <w:rPr>
                <w:rFonts w:ascii="Arial" w:cs="Arial" w:eastAsia="Arial" w:hAnsi="Arial"/>
                <w:sz w:val="17"/>
                <w:szCs w:val="17"/>
                <w:color w:val="auto"/>
              </w:rPr>
              <w:t>101.LAB **</w:t>
            </w:r>
          </w:p>
        </w:tc>
        <w:tc>
          <w:tcPr>
            <w:tcW w:w="9680" w:type="dxa"/>
            <w:vAlign w:val="bottom"/>
            <w:gridSpan w:val="7"/>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29"/>
        </w:trPr>
        <w:tc>
          <w:tcPr>
            <w:tcW w:w="1320" w:type="dxa"/>
            <w:vAlign w:val="bottom"/>
            <w:gridSpan w:val="4"/>
          </w:tcPr>
          <w:p>
            <w:pPr>
              <w:spacing w:after="0"/>
              <w:rPr>
                <w:sz w:val="20"/>
                <w:szCs w:val="20"/>
                <w:color w:val="auto"/>
              </w:rPr>
            </w:pPr>
            <w:r>
              <w:rPr>
                <w:rFonts w:ascii="Arial" w:cs="Arial" w:eastAsia="Arial" w:hAnsi="Arial"/>
                <w:sz w:val="17"/>
                <w:szCs w:val="17"/>
                <w:color w:val="auto"/>
              </w:rPr>
              <w:t>101.PRE **</w:t>
            </w:r>
          </w:p>
        </w:tc>
        <w:tc>
          <w:tcPr>
            <w:tcW w:w="9680" w:type="dxa"/>
            <w:vAlign w:val="bottom"/>
            <w:gridSpan w:val="7"/>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175"/>
        </w:trPr>
        <w:tc>
          <w:tcPr>
            <w:tcW w:w="1320" w:type="dxa"/>
            <w:vAlign w:val="bottom"/>
            <w:gridSpan w:val="4"/>
          </w:tcPr>
          <w:p>
            <w:pPr>
              <w:spacing w:after="0" w:line="176" w:lineRule="exact"/>
              <w:rPr>
                <w:sz w:val="20"/>
                <w:szCs w:val="20"/>
                <w:color w:val="auto"/>
              </w:rPr>
            </w:pPr>
            <w:r>
              <w:rPr>
                <w:rFonts w:ascii="Arial" w:cs="Arial" w:eastAsia="Arial" w:hAnsi="Arial"/>
                <w:sz w:val="17"/>
                <w:szCs w:val="17"/>
                <w:color w:val="auto"/>
              </w:rPr>
              <w:t>104 **</w:t>
            </w:r>
          </w:p>
        </w:tc>
        <w:tc>
          <w:tcPr>
            <w:tcW w:w="9680" w:type="dxa"/>
            <w:vAlign w:val="bottom"/>
            <w:gridSpan w:val="7"/>
          </w:tcPr>
          <w:p>
            <w:pPr>
              <w:spacing w:after="0" w:line="176" w:lineRule="exact"/>
              <w:rPr>
                <w:sz w:val="20"/>
                <w:szCs w:val="20"/>
                <w:color w:val="auto"/>
              </w:rPr>
            </w:pPr>
            <w:r>
              <w:rPr>
                <w:rFonts w:ascii="Arial" w:cs="Arial" w:eastAsia="Arial" w:hAnsi="Arial"/>
                <w:sz w:val="17"/>
                <w:szCs w:val="17"/>
                <w:color w:val="auto"/>
              </w:rPr>
              <w:t>Cover Page Interactive Data File (formatted as inline XBRL with applicable taxonomy extension information contained in Exhibits</w:t>
            </w:r>
          </w:p>
        </w:tc>
      </w:tr>
      <w:tr>
        <w:trPr>
          <w:trHeight w:val="225"/>
        </w:trPr>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101).</w:t>
            </w:r>
          </w:p>
        </w:tc>
        <w:tc>
          <w:tcPr>
            <w:tcW w:w="13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7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Santa Clara, State of California, on June 20, 2024.</w:t>
      </w:r>
    </w:p>
    <w:p>
      <w:pPr>
        <w:spacing w:after="0" w:line="158"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SILVACO GROUP, INC.</w:t>
      </w:r>
    </w:p>
    <w:p>
      <w:pPr>
        <w:spacing w:after="0" w:line="304"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27305</wp:posOffset>
            </wp:positionV>
            <wp:extent cx="21170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0"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Name: Dr. Babak A. Taheri</w:t>
      </w:r>
    </w:p>
    <w:p>
      <w:pPr>
        <w:ind w:left="792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72"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27305</wp:posOffset>
            </wp:positionV>
            <wp:extent cx="21170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4"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Name: Ryan A. Benton</w:t>
      </w:r>
    </w:p>
    <w:p>
      <w:pPr>
        <w:ind w:left="7920"/>
        <w:spacing w:after="0"/>
        <w:rPr>
          <w:sz w:val="20"/>
          <w:szCs w:val="20"/>
          <w:color w:val="auto"/>
        </w:rPr>
      </w:pPr>
      <w:r>
        <w:rPr>
          <w:rFonts w:ascii="Arial" w:cs="Arial" w:eastAsia="Arial" w:hAnsi="Arial"/>
          <w:sz w:val="17"/>
          <w:szCs w:val="17"/>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20"/>
          </w:cols>
          <w:pgMar w:left="320" w:top="118"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Dr. Babak A. Taheri, certify that:</w:t>
      </w:r>
    </w:p>
    <w:p>
      <w:pPr>
        <w:spacing w:after="0" w:line="18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340" w:hanging="332"/>
        <w:spacing w:after="0" w:line="27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left="340" w:hanging="332"/>
        <w:spacing w:after="0" w:line="28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sz w:val="20"/>
          <w:szCs w:val="20"/>
          <w:color w:val="auto"/>
        </w:rPr>
      </w:pPr>
    </w:p>
    <w:p>
      <w:pPr>
        <w:ind w:left="340" w:hanging="332"/>
        <w:spacing w:after="0" w:line="265"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340" w:hanging="332"/>
        <w:spacing w:after="0" w:line="28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72390</wp:posOffset>
            </wp:positionV>
            <wp:extent cx="31889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2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Dr. Babak A. Taheri</w:t>
      </w:r>
    </w:p>
    <w:p>
      <w:pPr>
        <w:spacing w:after="0" w:line="169"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June 20, 2024</w:t>
      </w:r>
    </w:p>
    <w:p>
      <w:pPr>
        <w:sectPr>
          <w:pgSz w:w="11900" w:h="16838" w:orient="portrait"/>
          <w:cols w:equalWidth="0" w:num="1">
            <w:col w:w="11240"/>
          </w:cols>
          <w:pgMar w:left="320" w:top="109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Ryan A Benton, certify that:</w:t>
      </w:r>
    </w:p>
    <w:p>
      <w:pPr>
        <w:spacing w:after="0" w:line="18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340" w:hanging="332"/>
        <w:spacing w:after="0" w:line="27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left="340" w:hanging="332"/>
        <w:spacing w:after="0" w:line="28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sz w:val="20"/>
          <w:szCs w:val="20"/>
          <w:color w:val="auto"/>
        </w:rPr>
      </w:pPr>
    </w:p>
    <w:p>
      <w:pPr>
        <w:ind w:left="340" w:hanging="332"/>
        <w:spacing w:after="0" w:line="26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340" w:hanging="332"/>
        <w:spacing w:after="0" w:line="27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72390</wp:posOffset>
            </wp:positionV>
            <wp:extent cx="31889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10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Ryan A. Benton</w:t>
      </w:r>
    </w:p>
    <w:p>
      <w:pPr>
        <w:spacing w:after="0" w:line="129"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June 20, 2024</w:t>
      </w:r>
    </w:p>
    <w:p>
      <w:pPr>
        <w:sectPr>
          <w:pgSz w:w="11900" w:h="16838" w:orient="portrait"/>
          <w:cols w:equalWidth="0" w:num="1">
            <w:col w:w="11240"/>
          </w:cols>
          <w:pgMar w:left="320" w:top="109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2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 Dr. Babak A. Taheri, Chief Executive Officer of Silvaco Group Inc. (the “Company”), do hereby certify, pursuant to 18 U.S.C. Section 1350, as adopted pursuant to Section 906 of the Sarbanes-Oxley Act of 2002, that to the best of my knowledge:</w:t>
      </w:r>
    </w:p>
    <w:p>
      <w:pPr>
        <w:spacing w:after="0" w:line="102" w:lineRule="exact"/>
        <w:rPr>
          <w:sz w:val="20"/>
          <w:szCs w:val="20"/>
          <w:color w:val="auto"/>
        </w:rPr>
      </w:pPr>
    </w:p>
    <w:p>
      <w:pPr>
        <w:ind w:left="460" w:hanging="322"/>
        <w:spacing w:after="0" w:line="304" w:lineRule="auto"/>
        <w:tabs>
          <w:tab w:leader="none" w:pos="4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2024 (the “Report”) fully complies with the requirements of Section 13(a) or 15(d) of the Securities Exchange Act of 1934; and</w:t>
      </w:r>
    </w:p>
    <w:p>
      <w:pPr>
        <w:spacing w:after="0" w:line="87" w:lineRule="exact"/>
        <w:rPr>
          <w:rFonts w:ascii="Arial" w:cs="Arial" w:eastAsia="Arial" w:hAnsi="Arial"/>
          <w:sz w:val="16"/>
          <w:szCs w:val="16"/>
          <w:color w:val="auto"/>
        </w:rPr>
      </w:pPr>
    </w:p>
    <w:p>
      <w:pPr>
        <w:ind w:left="460" w:hanging="322"/>
        <w:spacing w:after="0" w:line="304" w:lineRule="auto"/>
        <w:tabs>
          <w:tab w:leader="none" w:pos="4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97790</wp:posOffset>
            </wp:positionV>
            <wp:extent cx="31889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Dr. Babak A. Taheri</w:t>
      </w:r>
    </w:p>
    <w:p>
      <w:pPr>
        <w:spacing w:after="0" w:line="14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Executive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June 20, 2024</w:t>
      </w:r>
    </w:p>
    <w:p>
      <w:pPr>
        <w:sectPr>
          <w:pgSz w:w="11900" w:h="16838" w:orient="portrait"/>
          <w:cols w:equalWidth="0" w:num="1">
            <w:col w:w="11240"/>
          </w:cols>
          <w:pgMar w:left="320" w:top="110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2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Ryan A. Benton, Chief Executive Officer of Silvaco Group Inc. (the “Company”), do hereby certify, pursuant to 18 U.S.C. Section 1350, as adopted pursuant to Section 906 of the Sarbanes-Oxley Act of 2002, that to the best of my knowledge:</w:t>
      </w:r>
    </w:p>
    <w:p>
      <w:pPr>
        <w:spacing w:after="0" w:line="102" w:lineRule="exact"/>
        <w:rPr>
          <w:sz w:val="20"/>
          <w:szCs w:val="20"/>
          <w:color w:val="auto"/>
        </w:rPr>
      </w:pPr>
    </w:p>
    <w:p>
      <w:pPr>
        <w:ind w:left="460" w:hanging="322"/>
        <w:spacing w:after="0" w:line="304" w:lineRule="auto"/>
        <w:tabs>
          <w:tab w:leader="none" w:pos="4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2024 (the “Report”) fully complies with the requirements of Section 13(a) or 15(d) of the Securities Exchange Act of 1934; and</w:t>
      </w:r>
    </w:p>
    <w:p>
      <w:pPr>
        <w:spacing w:after="0" w:line="87" w:lineRule="exact"/>
        <w:rPr>
          <w:rFonts w:ascii="Arial" w:cs="Arial" w:eastAsia="Arial" w:hAnsi="Arial"/>
          <w:sz w:val="16"/>
          <w:szCs w:val="16"/>
          <w:color w:val="auto"/>
        </w:rPr>
      </w:pPr>
    </w:p>
    <w:p>
      <w:pPr>
        <w:ind w:left="460" w:hanging="322"/>
        <w:spacing w:after="0" w:line="304" w:lineRule="auto"/>
        <w:tabs>
          <w:tab w:leader="none" w:pos="4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80645</wp:posOffset>
            </wp:positionV>
            <wp:extent cx="31889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2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Ryan A. Benton</w:t>
      </w:r>
    </w:p>
    <w:p>
      <w:pPr>
        <w:spacing w:after="0" w:line="14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June 20, 2024</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Roman"/>
      <w:start w:val="3"/>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79" Type="http://schemas.openxmlformats.org/officeDocument/2006/relationships/hyperlink" Target="https://www.sec.gov/Archives/edgar/data/1943289/000162828024022867/exhibit31-closing8xk.htm" TargetMode="External"/><Relationship Id="rId80" Type="http://schemas.openxmlformats.org/officeDocument/2006/relationships/hyperlink" Target="https://www.sec.gov/Archives/edgar/data/1943289/000162828024022867/exhibit32-closing8xk.htm" TargetMode="External"/><Relationship Id="rId81" Type="http://schemas.openxmlformats.org/officeDocument/2006/relationships/hyperlink" Target="https://www.sec.gov/Archives/edgar/data/1943289/000162828024019172/exhibit101-sx1a2.htm" TargetMode="External"/><Relationship Id="rId82" Type="http://schemas.openxmlformats.org/officeDocument/2006/relationships/hyperlink" Target="https://www.sec.gov/Archives/edgar/data/1943289/000162828024016108/exhibit102-sx1.htm" TargetMode="External"/><Relationship Id="rId83" Type="http://schemas.openxmlformats.org/officeDocument/2006/relationships/hyperlink" Target="https://www.sec.gov/Archives/edgar/data/1943289/000162828024019172/exhibit103-sx1a2.htm" TargetMode="External"/><Relationship Id="rId84" Type="http://schemas.openxmlformats.org/officeDocument/2006/relationships/hyperlink" Target="https://www.sec.gov/Archives/edgar/data/0001943289/000162828024019172/exhibit104-sx1a2.htm" TargetMode="External"/><Relationship Id="rId85" Type="http://schemas.openxmlformats.org/officeDocument/2006/relationships/hyperlink" Target="https://www.sec.gov/Archives/edgar/data/0001943289/000162828024016108/exhibit105-sx1.htm" TargetMode="External"/><Relationship Id="rId86" Type="http://schemas.openxmlformats.org/officeDocument/2006/relationships/hyperlink" Target="https://www.sec.gov/Archives/edgar/data/0001943289/000162828024016108/exhibit106-sx1.htm" TargetMode="External"/><Relationship Id="rId87" Type="http://schemas.openxmlformats.org/officeDocument/2006/relationships/hyperlink" Target="https://www.sec.gov/Archives/edgar/data/0001943289/000162828024016108/exhibit107-sx1a.htm" TargetMode="External"/><Relationship Id="rId88" Type="http://schemas.openxmlformats.org/officeDocument/2006/relationships/hyperlink" Target="https://www.sec.gov/Archives/edgar/data/0001943289/000162828024016108/exhibit108-sx1.htm" TargetMode="External"/><Relationship Id="rId89" Type="http://schemas.openxmlformats.org/officeDocument/2006/relationships/hyperlink" Target="https://www.sec.gov/Archives/edgar/data/1943289/000162828024016108/exhibit109-sx1.htm" TargetMode="External"/><Relationship Id="rId90" Type="http://schemas.openxmlformats.org/officeDocument/2006/relationships/hyperlink" Target="https://www.sec.gov/Archives/edgar/data/0001943289/000162828024016108/exhibit1010s-1.htm" TargetMode="External"/><Relationship Id="rId91" Type="http://schemas.openxmlformats.org/officeDocument/2006/relationships/hyperlink" Target="https://www.sec.gov/Archives/edgar/data/0001943289/000162828024016108/exhibit1011-sx1.htm" TargetMode="External"/><Relationship Id="rId92" Type="http://schemas.openxmlformats.org/officeDocument/2006/relationships/hyperlink" Target="https://www.sec.gov/Archives/edgar/data/0001943289/000162828024016108/exhibit1012-sx1.htm" TargetMode="External"/><Relationship Id="rId93" Type="http://schemas.openxmlformats.org/officeDocument/2006/relationships/hyperlink" Target="https://www.sec.gov/Archives/edgar/data/0001943289/000162828024016108/exhibit1013-sx1.htm" TargetMode="External"/><Relationship Id="rId94" Type="http://schemas.openxmlformats.org/officeDocument/2006/relationships/hyperlink" Target="https://www.sec.gov/Archives/edgar/data/0001943289/000162828024016108/exhibit1017-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2024-06-20T06:57:33Z</dcterms:created>
  <dcterms:modified xsi:type="dcterms:W3CDTF">2024-06-20T06:57:33Z</dcterms:modified>
</cp:coreProperties>
</file>