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61" w:lineRule="exact"/>
        <w:rPr>
          <w:sz w:val="24"/>
          <w:szCs w:val="24"/>
          <w:color w:val="auto"/>
        </w:rPr>
      </w:pPr>
    </w:p>
    <w:p>
      <w:pPr>
        <w:jc w:val="center"/>
        <w:spacing w:after="0" w:line="304" w:lineRule="auto"/>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 Date of Report (Date of earliest event reported): May 21, 2026</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Silvaco Group, Inc.</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600" w:type="dxa"/>
            <w:vAlign w:val="bottom"/>
            <w:vMerge w:val="restart"/>
          </w:tcPr>
          <w:p>
            <w:pPr>
              <w:ind w:left="2360"/>
              <w:spacing w:after="0"/>
              <w:rPr>
                <w:sz w:val="20"/>
                <w:szCs w:val="20"/>
                <w:color w:val="auto"/>
              </w:rPr>
            </w:pPr>
            <w:r>
              <w:rPr>
                <w:rFonts w:ascii="Times New Roman" w:cs="Times New Roman" w:eastAsia="Times New Roman" w:hAnsi="Times New Roman"/>
                <w:sz w:val="18"/>
                <w:szCs w:val="18"/>
                <w:b w:val="1"/>
                <w:bCs w:val="1"/>
                <w:color w:val="auto"/>
              </w:rPr>
              <w:t>001-42043</w:t>
            </w:r>
          </w:p>
        </w:tc>
        <w:tc>
          <w:tcPr>
            <w:tcW w:w="1640" w:type="dxa"/>
            <w:vAlign w:val="bottom"/>
          </w:tcPr>
          <w:p>
            <w:pPr>
              <w:jc w:val="center"/>
              <w:ind w:left="142"/>
              <w:spacing w:after="0"/>
              <w:rPr>
                <w:sz w:val="20"/>
                <w:szCs w:val="20"/>
                <w:color w:val="auto"/>
              </w:rPr>
            </w:pPr>
            <w:r>
              <w:rPr>
                <w:rFonts w:ascii="Times New Roman" w:cs="Times New Roman" w:eastAsia="Times New Roman" w:hAnsi="Times New Roman"/>
                <w:sz w:val="18"/>
                <w:szCs w:val="18"/>
                <w:b w:val="1"/>
                <w:bCs w:val="1"/>
                <w:color w:val="auto"/>
                <w:w w:val="98"/>
              </w:rPr>
              <w:t>27-1503712</w:t>
            </w:r>
          </w:p>
        </w:tc>
        <w:tc>
          <w:tcPr>
            <w:tcW w:w="0" w:type="dxa"/>
            <w:vAlign w:val="bottom"/>
          </w:tcPr>
          <w:p>
            <w:pPr>
              <w:spacing w:after="0"/>
              <w:rPr>
                <w:sz w:val="1"/>
                <w:szCs w:val="1"/>
                <w:color w:val="auto"/>
              </w:rPr>
            </w:pPr>
          </w:p>
        </w:tc>
      </w:tr>
      <w:tr>
        <w:trPr>
          <w:trHeight w:val="68"/>
        </w:trPr>
        <w:tc>
          <w:tcPr>
            <w:tcW w:w="1820" w:type="dxa"/>
            <w:vAlign w:val="bottom"/>
          </w:tcPr>
          <w:p>
            <w:pPr>
              <w:spacing w:after="0"/>
              <w:rPr>
                <w:sz w:val="5"/>
                <w:szCs w:val="5"/>
                <w:color w:val="auto"/>
              </w:rPr>
            </w:pPr>
          </w:p>
        </w:tc>
        <w:tc>
          <w:tcPr>
            <w:tcW w:w="5600" w:type="dxa"/>
            <w:vAlign w:val="bottom"/>
            <w:vMerge w:val="continue"/>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600" w:type="dxa"/>
            <w:vAlign w:val="bottom"/>
          </w:tcPr>
          <w:p>
            <w:pPr>
              <w:ind w:left="236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40" w:type="dxa"/>
            <w:vAlign w:val="bottom"/>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203"/>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60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40" w:type="dxa"/>
            <w:vAlign w:val="bottom"/>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604"/>
        </w:trPr>
        <w:tc>
          <w:tcPr>
            <w:tcW w:w="182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Silvaco Group, Inc.</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4701 Patrick Henry Drive, Building #23</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820" w:type="dxa"/>
            <w:vAlign w:val="bottom"/>
          </w:tcPr>
          <w:p>
            <w:pPr>
              <w:spacing w:after="0"/>
              <w:rPr>
                <w:sz w:val="22"/>
                <w:szCs w:val="22"/>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Santa Clara, CA 95054</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820" w:type="dxa"/>
            <w:vAlign w:val="bottom"/>
          </w:tcPr>
          <w:p>
            <w:pPr>
              <w:spacing w:after="0"/>
              <w:rPr>
                <w:sz w:val="16"/>
                <w:szCs w:val="16"/>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820" w:type="dxa"/>
            <w:vAlign w:val="bottom"/>
          </w:tcPr>
          <w:p>
            <w:pPr>
              <w:spacing w:after="0"/>
              <w:rPr>
                <w:sz w:val="22"/>
                <w:szCs w:val="22"/>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(408) 567-1000</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38" w:lineRule="exact"/>
        <w:rPr>
          <w:sz w:val="24"/>
          <w:szCs w:val="24"/>
          <w:color w:val="auto"/>
        </w:rPr>
      </w:pPr>
    </w:p>
    <w:p>
      <w:pPr>
        <w:ind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1"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5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28"/>
        </w:trPr>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00" w:type="dxa"/>
            <w:vAlign w:val="bottom"/>
          </w:tcPr>
          <w:p>
            <w:pPr>
              <w:spacing w:after="0"/>
              <w:rPr>
                <w:sz w:val="19"/>
                <w:szCs w:val="19"/>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SVCO</w:t>
            </w:r>
          </w:p>
        </w:tc>
        <w:tc>
          <w:tcPr>
            <w:tcW w:w="100" w:type="dxa"/>
            <w:vAlign w:val="bottom"/>
          </w:tcPr>
          <w:p>
            <w:pPr>
              <w:spacing w:after="0"/>
              <w:rPr>
                <w:sz w:val="19"/>
                <w:szCs w:val="19"/>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74" w:lineRule="exact"/>
        <w:rPr>
          <w:sz w:val="24"/>
          <w:szCs w:val="24"/>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ind w:right="16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29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On May 21, 2026, Baker Tilly US, LLP (“Baker Tilly”), the former independent registered public accounting firm for Silvaco Group, Inc. (the “Company”), was dismissed, and on May 27, 2026, KPMG LLP (“KPMG”) was engaged as the Company’s independent registered public accounting firm. The decision to change independent accountants was made by the Audit Committee of the Company’s Board of Directors (the “Audit Committee”).</w:t>
      </w:r>
    </w:p>
    <w:p>
      <w:pPr>
        <w:spacing w:after="0" w:line="21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Moss Adams LLP (“Moss Adams”), the Company’s independent registered public accounting firm during the years ended December 31, 2025, and 2024, and the subsequent interim period through July 8, 2025, merged with Baker Tilly, effective on June 3, 2025, and on July 8, 2025, Baker Tilly was appointed by the Audit Committee as the successor to Moss Adams. The combined audit practices now operate, and are referred to in this Current Report on Form 8-K, as Baker Tilly.</w:t>
      </w:r>
    </w:p>
    <w:p>
      <w:pPr>
        <w:spacing w:after="0" w:line="2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During the years ended December 31, 2025, and 2024, and the subsequent interim period through May 21, 2026, there were no (a) “disagreements” (as described in Item 304(a)(1)(iv) of Regulation S-K promulgated under the Exchange Act of 1934 (“Regulation S-K”) and related instructions to that item) with Baker Tilly on any matter of accounting principles or practices, financial statement disclosure, or auditing scope or procedure, which, if not resolved to Baker Tilly’s satisfaction, would have caused it to make reference to the subject matter of the disagreement in connection with its reports on the Company’s financial statements, or (b) “reportable events” (as defined in Item 304(a)(1)(v) of Regulation S-K), except for the material weakness in the Company’s internal control over financial reporting related to a lack of formalized accounting processes over internal control over financial reporting and an insufficient complement of personnel possessing the technical accounting and financial reporting knowledge and experience to support a timely and accurate close and financial statement reporting process, as disclosed under the heading "Item 9A. Controls and Procedures" in the Company's Annual Report on Form 10-K for the year ended December 31, 2024.</w:t>
      </w:r>
    </w:p>
    <w:p>
      <w:pPr>
        <w:spacing w:after="0" w:line="23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During the years ended December 31, 2025, and 2024, and the subsequent interim period through the date of this Current Report on Form 8-K, neither the Company, nor anyone on its behalf, consulted with KPMG regarding: (i) either the application of accounting principles to a specified transaction, either completed or proposed, or the type of audit opinion that might be rendered on the Company’s financial statements; or (ii) any matter that was either the subject of a “disagreement,” as described in Item 304(a)(1)(iv) of Regulation S-K and the related instructions to that item, or a “reportable event,” as defined in Item 304(a)(1)(v) of Regulation S-K.</w:t>
      </w:r>
    </w:p>
    <w:p>
      <w:pPr>
        <w:spacing w:after="0" w:line="21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audit report of Baker Tilly on the Company’s consolidated financial statements for the years ended December 31, 2025, and 2024, did not contain an adverse opinion or a disclaimer of opinion, nor were they qualified or modified as to uncertainty, audit scope or accounting principles.</w:t>
      </w:r>
    </w:p>
    <w:p>
      <w:pPr>
        <w:spacing w:after="0" w:line="21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provided Baker Tilly with a copy of this Current Report on Form 8-K prior to its filing with the Securities and Exchange Commission (the “Commission”) and requested that Baker Tilly furnish the Company with a letter addressed to the Commission stating whether it agrees with the above statements and, if it does not agree, the respects in which it does not agree. A copy of Baker Tilly’s letter to the Commission, dated May 27, 2026, is filed as Exhibit 16.1 to this Form 8-K and is incorporated herein by reference.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62"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 of Business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 w:name="page3"/>
    <w:bookmarkEnd w:id="2"/>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7"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Pro Forma Financial Information.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5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Shell Company Transactions.</w:t>
      </w:r>
    </w:p>
    <w:p>
      <w:pPr>
        <w:sectPr>
          <w:pgSz w:w="11900" w:h="16838" w:orient="portrait"/>
          <w:cols w:equalWidth="0" w:num="1">
            <w:col w:w="10139"/>
          </w:cols>
          <w:pgMar w:left="320" w:top="1440" w:right="1440" w:bottom="1440" w:gutter="0" w:footer="0" w:header="0"/>
        </w:sect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58"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3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831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1215" cy="1714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16.1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099"/>
        <w:spacing w:after="0" w:line="376" w:lineRule="auto"/>
        <w:rPr>
          <w:sz w:val="20"/>
          <w:szCs w:val="20"/>
          <w:color w:val="auto"/>
        </w:rPr>
      </w:pPr>
      <w:r>
        <w:rPr>
          <w:rFonts w:ascii="Times New Roman" w:cs="Times New Roman" w:eastAsia="Times New Roman" w:hAnsi="Times New Roman"/>
          <w:sz w:val="18"/>
          <w:szCs w:val="18"/>
          <w:u w:val="single" w:color="auto"/>
          <w:color w:val="auto"/>
        </w:rPr>
        <w:t xml:space="preserve">Letter of Baker Tilly US, LLP, dated May 27, 2026, to the U.S. Securities and Exchange Commission </w:t>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1061720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-425450</wp:posOffset>
            </wp:positionV>
            <wp:extent cx="60775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7585" cy="17145"/>
                    </a:xfrm>
                    <a:prstGeom prst="rect">
                      <a:avLst/>
                    </a:prstGeom>
                    <a:noFill/>
                  </pic:spPr>
                </pic:pic>
              </a:graphicData>
            </a:graphic>
          </wp:anchor>
        </w:drawing>
      </w:r>
    </w:p>
    <w:p>
      <w:pPr>
        <w:sectPr>
          <w:pgSz w:w="11900" w:h="16838" w:orient="portrait"/>
          <w:cols w:equalWidth="0" w:num="2">
            <w:col w:w="1280" w:space="460"/>
            <w:col w:w="8399"/>
          </w:cols>
          <w:pgMar w:left="320" w:top="1440" w:right="1440" w:bottom="1440" w:gutter="0" w:footer="0" w:header="0"/>
          <w:type w:val="continuous"/>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0"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5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SILVACO GROUP, INC.</w:t>
      </w:r>
    </w:p>
    <w:p>
      <w:pPr>
        <w:spacing w:after="0" w:line="200" w:lineRule="exact"/>
        <w:rPr>
          <w:sz w:val="20"/>
          <w:szCs w:val="20"/>
          <w:color w:val="auto"/>
        </w:rPr>
      </w:pPr>
    </w:p>
    <w:p>
      <w:pPr>
        <w:spacing w:after="0" w:line="218" w:lineRule="exact"/>
        <w:rPr>
          <w:sz w:val="20"/>
          <w:szCs w:val="20"/>
          <w:color w:val="auto"/>
        </w:rPr>
      </w:pPr>
    </w:p>
    <w:p>
      <w:pPr>
        <w:spacing w:after="0"/>
        <w:tabs>
          <w:tab w:leader="none" w:pos="2380" w:val="left"/>
          <w:tab w:leader="none" w:pos="2820" w:val="left"/>
        </w:tabs>
        <w:rPr>
          <w:sz w:val="20"/>
          <w:szCs w:val="20"/>
          <w:color w:val="auto"/>
        </w:rPr>
      </w:pPr>
      <w:r>
        <w:rPr>
          <w:rFonts w:ascii="Times New Roman" w:cs="Times New Roman" w:eastAsia="Times New Roman" w:hAnsi="Times New Roman"/>
          <w:sz w:val="18"/>
          <w:szCs w:val="18"/>
          <w:color w:val="auto"/>
        </w:rPr>
        <w:t>Date: May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Christopher Zegarelli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-7620</wp:posOffset>
            </wp:positionV>
            <wp:extent cx="1228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spacing w:after="0" w:line="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Christopher Zegarelli</w:t>
      </w:r>
    </w:p>
    <w:p>
      <w:pPr>
        <w:spacing w:after="0" w:line="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160"/>
          </w:cols>
          <w:pgMar w:left="320" w:top="1427" w:right="4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May 27, 2026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0"/>
          <w:szCs w:val="20"/>
          <w:color w:val="auto"/>
        </w:rPr>
      </w:pPr>
    </w:p>
    <w:p>
      <w:pPr>
        <w:ind w:right="140"/>
        <w:spacing w:after="0" w:line="318" w:lineRule="auto"/>
        <w:rPr>
          <w:sz w:val="20"/>
          <w:szCs w:val="20"/>
          <w:color w:val="auto"/>
        </w:rPr>
      </w:pPr>
      <w:r>
        <w:rPr>
          <w:rFonts w:ascii="Arial" w:cs="Arial" w:eastAsia="Arial" w:hAnsi="Arial"/>
          <w:sz w:val="18"/>
          <w:szCs w:val="18"/>
          <w:color w:val="auto"/>
        </w:rPr>
        <w:t>We have read the statements made by Silvaco Group, Inc. included under Item 4.01 of its Current Report on Form 8-K dated May 21, 2026, to be filed with the Securities and Exchange Commission. We agree with the statements concerning our Firm contained therein.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2026-05-27T17:03:30Z</dcterms:created>
  <dcterms:modified xsi:type="dcterms:W3CDTF">2026-05-27T17:03:30Z</dcterms:modified>
</cp:coreProperties>
</file>