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of the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Securities Exchange Act of 1934 </w:t>
      </w:r>
    </w:p>
    <w:p>
      <w:pPr>
        <w:pStyle w:val="TextBody"/>
        <w:bidi w:val="0"/>
        <w:spacing w:lineRule="auto" w:line="288" w:before="0" w:after="0"/>
        <w:jc w:val="center"/>
      </w:pPr>
      <w:r>
        <w:rPr>
          <w:rFonts w:ascii="Times New Roman;serif" w:hAnsi="Times New Roman;serif"/>
          <w:b/>
          <w:color w:val="000000"/>
          <w:sz w:val="24"/>
          <w:shd w:fill="FFFFFF" w:val="clear"/>
        </w:rPr>
        <w:t xml:space="preserve">Date of Report (Date of earliest event reported): </w:t>
      </w:r>
      <w:r>
        <w:rPr>
          <w:rFonts w:ascii="Times New Roman;serif" w:hAnsi="Times New Roman;serif"/>
          <w:b/>
          <w:color w:val="000000"/>
          <w:sz w:val="24"/>
        </w:rPr>
        <w:t>November 4, 2026</w:t>
      </w:r>
      <w:r>
        <w:rPr>
          <w:color w:val="000000"/>
          <w:shd w:fill="FFFFFF" w:val="clear"/>
        </w:rPr>
        <w:t xml:space="preserve">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27-1503712</w:t>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Silvaco Group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4701 Patrick Henry Drive, Building #23</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Santa Clara, CA 95054</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(408) 567-1000</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41"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1329"/>
        <w:gridCol w:w="1165"/>
        <w:gridCol w:w="1181"/>
        <w:gridCol w:w="109"/>
        <w:gridCol w:w="109"/>
        <w:gridCol w:w="109"/>
        <w:gridCol w:w="230"/>
        <w:gridCol w:w="230"/>
        <w:gridCol w:w="231"/>
        <w:gridCol w:w="109"/>
        <w:gridCol w:w="109"/>
        <w:gridCol w:w="109"/>
        <w:gridCol w:w="843"/>
        <w:gridCol w:w="843"/>
        <w:gridCol w:w="1194"/>
      </w:tblGrid>
      <w:t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c>
          <w:tcPr>
            <w:tcW w:w="3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SVCO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jc w:val="left"/>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4, 2026, Silvaco Group, Inc. issued a press release announcing its financial results for the third fiscal quarter ended September 30, 2026, and posted to its website supplemental financial information in connection therewith. A copy of the press release is attached as Exhibit 99.1 to this Current Report on Form 8-K and is incorporated by reference herein.</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before="0" w:after="0"/>
        <w:jc w:val="both"/>
      </w:pPr>
      <w:r/>
    </w:p>
    <w:p>
      <w:pPr>
        <w:pStyle w:val="TextBody"/>
        <w:bidi w:val="0"/>
        <w:spacing w:lineRule="auto" w:line="268" w:before="0" w:after="0"/>
        <w:jc w:val="both"/>
      </w:pPr>
      <w:r>
        <w:rPr>
          <w:rFonts w:ascii="Times New Roman;serif" w:hAnsi="Times New Roman;serif"/>
          <w:b w:val="false"/>
          <w:i/>
          <w:color w:val="000000"/>
          <w:sz w:val="20"/>
          <w:shd w:fill="FFFFFF" w:val="clear"/>
        </w:rPr>
        <w:t>(a)</w:t>
      </w:r>
      <w:r>
        <w:rPr>
          <w:color w:val="000000"/>
        </w:rPr>
        <w:t xml:space="preserve"> </w:t>
      </w:r>
      <w:r>
        <w:rPr>
          <w:rFonts w:ascii="Times New Roman;serif" w:hAnsi="Times New Roman;serif"/>
          <w:b w:val="false"/>
          <w:i/>
          <w:color w:val="000000"/>
          <w:sz w:val="20"/>
          <w:shd w:fill="FFFFFF" w:val="clear"/>
        </w:rPr>
        <w:t>Financial Statements of Business Acquired.</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shd w:fill="FFFFFF" w:val="clear"/>
        </w:rPr>
        <w:t>(b)</w:t>
      </w:r>
      <w:r>
        <w:rPr>
          <w:color w:val="000000"/>
        </w:rPr>
        <w:t xml:space="preserve"> </w:t>
      </w:r>
      <w:r>
        <w:rPr>
          <w:rFonts w:ascii="Times New Roman;serif" w:hAnsi="Times New Roman;serif"/>
          <w:b w:val="false"/>
          <w:i/>
          <w:color w:val="000000"/>
          <w:sz w:val="20"/>
          <w:shd w:fill="FFFFFF" w:val="clear"/>
        </w:rPr>
        <w:t>Pro Forma Financial Information.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shd w:fill="FFFFFF" w:val="clear"/>
        </w:rPr>
        <w:t>(c)</w:t>
      </w:r>
      <w:r>
        <w:rPr>
          <w:color w:val="000000"/>
        </w:rPr>
        <w:t xml:space="preserve"> </w:t>
      </w:r>
      <w:r>
        <w:rPr>
          <w:rFonts w:ascii="Times New Roman;serif" w:hAnsi="Times New Roman;serif"/>
          <w:b w:val="false"/>
          <w:i/>
          <w:color w:val="000000"/>
          <w:sz w:val="20"/>
          <w:shd w:fill="FFFFFF" w:val="clear"/>
        </w:rPr>
        <w:t>Shell Company Transactions.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shd w:fill="FFFFFF" w:val="clear"/>
        </w:rPr>
        <w:t>(d)</w:t>
      </w:r>
      <w:r>
        <w:rPr>
          <w:color w:val="000000"/>
        </w:rPr>
        <w:t xml:space="preserve"> </w:t>
      </w:r>
      <w:r>
        <w:rPr>
          <w:rFonts w:ascii="Times New Roman;serif" w:hAnsi="Times New Roman;serif"/>
          <w:b w:val="false"/>
          <w:i/>
          <w:color w:val="000000"/>
          <w:sz w:val="20"/>
          <w:shd w:fill="FFFFFF" w:val="clear"/>
        </w:rPr>
        <w:t>Exhibits.</w:t>
      </w:r>
    </w:p>
    <w:tbl>
      <w:tblPr>
        <w:tblW w:w="779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03"/>
        <w:gridCol w:w="1903"/>
        <w:gridCol w:w="2719"/>
      </w:tblGrid>
      <w:t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r>
      <w:t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hyperlink w:anchor="exhibit991earningsreleased.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svco-20261104.htm">
              <w:r>
                <w:rPr>
                  <w:rStyle w:val="InternetLink"/>
                  <w:rFonts w:ascii="Times New Roman;serif" w:hAnsi="Times New Roman;serif"/>
                  <w:b w:val="false"/>
                  <w:color w:val="0000FF"/>
                  <w:sz w:val="20"/>
                  <w:u w:val="single"/>
                </w:rPr>
                <w:t>Press release issued by Silvaco Group, Inc. dated November 4, 2026</w:t>
              </w:r>
            </w:hyperlink>
          </w:p>
        </w:tc>
      </w:tr>
      <w:t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as amended, the registrant has duly caused this report to be signed on its behalf by the undersigned hereunto duly authorized. </w:t>
      </w:r>
    </w:p>
    <w:tbl>
      <w:tblPr>
        <w:tblW w:w="5470"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21"/>
        <w:gridCol w:w="121"/>
        <w:gridCol w:w="121"/>
        <w:gridCol w:w="121"/>
        <w:gridCol w:w="121"/>
        <w:gridCol w:w="121"/>
        <w:gridCol w:w="121"/>
        <w:gridCol w:w="121"/>
        <w:gridCol w:w="121"/>
        <w:gridCol w:w="243"/>
        <w:gridCol w:w="243"/>
        <w:gridCol w:w="243"/>
        <w:gridCol w:w="243"/>
        <w:gridCol w:w="243"/>
        <w:gridCol w:w="243"/>
        <w:gridCol w:w="243"/>
        <w:gridCol w:w="243"/>
        <w:gridCol w:w="344"/>
      </w:tblGrid>
      <w:t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SILVACO GROUP, INC.</w:t>
            </w:r>
          </w:p>
        </w:tc>
      </w:tr>
      <w:tr>
        <w:tc>
          <w:tcPr>
            <w:tcW w:w="209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1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8"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J. Zegarelli</w:t>
            </w:r>
          </w:p>
        </w:tc>
      </w:tr>
      <w:tr>
        <w:tc>
          <w:tcPr>
            <w:tcW w:w="209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J. Zegarelli</w:t>
            </w:r>
          </w:p>
        </w:tc>
      </w:tr>
      <w:tr>
        <w:tc>
          <w:tcPr>
            <w:tcW w:w="209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Silvaco Reports Third Quarter 2026 Financial Results</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Won major new tier-1 FTCO customer and 4 tier-1 customers for Jivaro Pro in Q3</w:t>
      </w:r>
    </w:p>
    <w:p>
      <w:pPr>
        <w:pStyle w:val="TextBody"/>
        <w:bidi w:val="0"/>
        <w:spacing w:before="0" w:after="0"/>
        <w:jc w:val="left"/>
      </w:p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Record revenue expected in Q4 driving 2026 revenue growth to 17% at midpoint of guided range. Similar revenue growth expected in 2027</w:t>
      </w:r>
    </w:p>
    <w:p>
      <w:pPr>
        <w:pStyle w:val="TextBody"/>
        <w:bidi w:val="0"/>
        <w:spacing w:before="0" w:after="0"/>
        <w:jc w:val="left"/>
      </w:pPr>
      <w:r/>
    </w:p>
    <w:p>
      <w:pPr>
        <w:pStyle w:val="TextBody"/>
        <w:bidi w:val="0"/>
        <w:spacing w:lineRule="auto" w:line="276" w:before="0" w:after="0"/>
        <w:jc w:val="both"/>
      </w:pPr>
      <w:r>
        <w:rPr>
          <w:rFonts w:ascii="Times New Roman;serif" w:hAnsi="Times New Roman;serif"/>
          <w:b/>
          <w:color w:val="000000"/>
          <w:sz w:val="22"/>
        </w:rPr>
        <w:t xml:space="preserve">SANTA CLARA, Calif. </w:t>
      </w:r>
      <w:r>
        <w:rPr>
          <w:color w:val="000000"/>
        </w:rPr>
        <w:t xml:space="preserve">– </w:t>
      </w:r>
      <w:r>
        <w:rPr>
          <w:rFonts w:ascii="Times New Roman;serif" w:hAnsi="Times New Roman;serif"/>
          <w:b/>
          <w:color w:val="000000"/>
          <w:sz w:val="24"/>
        </w:rPr>
        <w:t>November 4</w:t>
      </w:r>
      <w:r>
        <w:rPr>
          <w:rFonts w:ascii="Times New Roman;serif" w:hAnsi="Times New Roman;serif"/>
          <w:b/>
          <w:color w:val="000000"/>
          <w:sz w:val="22"/>
        </w:rPr>
        <w:t>, 2026</w:t>
      </w:r>
      <w:r>
        <w:rPr>
          <w:color w:val="000000"/>
        </w:rPr>
        <w:t xml:space="preserve">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Silvaco Group, Inc. (Nasdaq: SVCO) (“Silvaco” or the “Company”), a provider of TCAD, EDA software, and SIP solutions that enable innovative semiconductor design and digital twin modeling through AI software and innovation, today announced its third quarter 2026 results.</w:t>
      </w:r>
    </w:p>
    <w:p>
      <w:pPr>
        <w:pStyle w:val="TextBody"/>
        <w:bidi w:val="0"/>
        <w:spacing w:before="0" w:after="0"/>
        <w:jc w:val="both"/>
      </w:pPr>
      <w:r/>
    </w:p>
    <w:p>
      <w:pPr>
        <w:pStyle w:val="TextBody"/>
        <w:bidi w:val="0"/>
        <w:spacing w:lineRule="auto" w:line="268" w:before="0" w:after="0"/>
        <w:jc w:val="both"/>
      </w:pPr>
      <w:r>
        <w:rPr>
          <w:color w:val="000000"/>
        </w:rPr>
        <w:t>“</w:t>
      </w:r>
      <w:r>
        <w:rPr>
          <w:rFonts w:ascii="Times New Roman;serif" w:hAnsi="Times New Roman;serif"/>
          <w:b w:val="false"/>
          <w:color w:val="000000"/>
          <w:sz w:val="22"/>
        </w:rPr>
        <w:t>I am pleased with Silvaco’s Q3 results and Q4 guidance,” said Walden Rhines, Silvaco’s Chief Executive Officer.</w:t>
      </w:r>
      <w:r>
        <w:rPr>
          <w:color w:val="000000"/>
        </w:rPr>
        <w:t xml:space="preserve"> “</w:t>
      </w:r>
      <w:r>
        <w:rPr>
          <w:rFonts w:ascii="Times New Roman;serif" w:hAnsi="Times New Roman;serif"/>
          <w:b w:val="false"/>
          <w:color w:val="000000"/>
          <w:sz w:val="22"/>
        </w:rPr>
        <w:t>In Q3, bookings strength was driven by a significant new Tier-1 FTCO customer and 4 tier-1 customer wins for Jivaro Pro.</w:t>
      </w:r>
      <w:r>
        <w:rPr>
          <w:color w:val="000000"/>
        </w:rPr>
        <w:t xml:space="preserve"> </w:t>
      </w:r>
      <w:r>
        <w:rPr>
          <w:rFonts w:ascii="Times New Roman;serif" w:hAnsi="Times New Roman;serif"/>
          <w:b w:val="false"/>
          <w:color w:val="000000"/>
          <w:sz w:val="22"/>
        </w:rPr>
        <w:t>We also engaged with two of the largest global technology companies with our Agentic AI offerings.</w:t>
      </w:r>
      <w:r>
        <w:rPr>
          <w:color w:val="000000"/>
        </w:rPr>
        <w:t xml:space="preserve"> </w:t>
      </w:r>
      <w:r>
        <w:rPr>
          <w:rFonts w:ascii="Times New Roman;serif" w:hAnsi="Times New Roman;serif"/>
          <w:b w:val="false"/>
          <w:color w:val="000000"/>
          <w:sz w:val="22"/>
        </w:rPr>
        <w:t>Looking forward, we expect strong revenue growth, with 35% sequential growth expected in Q4, 17% growth year-over-year in 2026 and mid-to-high teens growth in 2027.</w:t>
      </w:r>
      <w:r>
        <w:rPr>
          <w:color w:val="000000"/>
        </w:rPr>
        <w:t xml:space="preserve"> </w:t>
      </w:r>
      <w:r>
        <w:rPr>
          <w:rFonts w:ascii="Times New Roman;serif" w:hAnsi="Times New Roman;serif"/>
          <w:b w:val="false"/>
          <w:color w:val="000000"/>
          <w:sz w:val="22"/>
        </w:rPr>
        <w:t>This acceleration highlights an inflection in the business rooted in changes we have made over the last year – including streamlined operations, a focused roadmap and deepening relationships with our strategic customers.”</w:t>
      </w:r>
      <w:r>
        <w:rPr>
          <w:color w:val="000000"/>
        </w:rPr>
        <w:t xml:space="preserve"> </w:t>
      </w:r>
    </w:p>
    <w:p>
      <w:pPr>
        <w:pStyle w:val="TextBody"/>
        <w:bidi w:val="0"/>
        <w:spacing w:before="0" w:after="0"/>
        <w:jc w:val="both"/>
      </w:pPr>
      <w:r/>
    </w:p>
    <w:p>
      <w:pPr>
        <w:pStyle w:val="TextBody"/>
        <w:bidi w:val="0"/>
        <w:spacing w:lineRule="auto" w:line="276" w:before="0" w:after="0"/>
        <w:jc w:val="both"/>
      </w:pPr>
      <w:r>
        <w:rPr>
          <w:rFonts w:ascii="Times New Roman;serif" w:hAnsi="Times New Roman;serif"/>
          <w:b w:val="false"/>
          <w:color w:val="000000"/>
          <w:sz w:val="22"/>
        </w:rPr>
        <w:t>Chris Zegarelli, Silvaco’s Chief Financial Officer, added, “As the business accelerates, we are achieving meaningful financial milestones.</w:t>
      </w:r>
      <w:r>
        <w:rPr>
          <w:color w:val="000000"/>
        </w:rPr>
        <w:t xml:space="preserve"> </w:t>
      </w:r>
      <w:r>
        <w:rPr>
          <w:rFonts w:ascii="Times New Roman;serif" w:hAnsi="Times New Roman;serif"/>
          <w:b w:val="false"/>
          <w:color w:val="000000"/>
          <w:sz w:val="22"/>
        </w:rPr>
        <w:t>Net cash used in operations improved significantly in Q3, we ended Q3 with the most unrestricted cash on the balance sheet since Q2’25 and we are guiding to record revenue in Q4.</w:t>
      </w:r>
      <w:r>
        <w:rPr>
          <w:color w:val="000000"/>
        </w:rPr>
        <w:t xml:space="preserve"> </w:t>
      </w:r>
      <w:r>
        <w:rPr>
          <w:rFonts w:ascii="Times New Roman;serif" w:hAnsi="Times New Roman;serif"/>
          <w:b w:val="false"/>
          <w:color w:val="000000"/>
          <w:sz w:val="22"/>
        </w:rPr>
        <w:t>We expect our higher growth expectations to continue expanding our profitability and cash generation in 2027.</w:t>
      </w:r>
      <w:r>
        <w:rPr>
          <w:color w:val="000000"/>
        </w:rPr>
        <w:t xml:space="preserve"> </w:t>
      </w:r>
      <w:r>
        <w:rPr>
          <w:rFonts w:ascii="Times New Roman;serif" w:hAnsi="Times New Roman;serif"/>
          <w:b w:val="false"/>
          <w:color w:val="000000"/>
          <w:sz w:val="22"/>
        </w:rPr>
        <w:t>Looking forward, we are excited to continue seeing the results of our strategic transformation.”</w:t>
      </w:r>
      <w:r>
        <w:rPr>
          <w:color w:val="000000"/>
        </w:rPr>
        <w:t xml:space="preserve"> </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Third Quarter 2026 and Recent Business Highlights</w:t>
      </w:r>
    </w:p>
    <w:p>
      <w:pPr>
        <w:pStyle w:val="TextBody"/>
        <w:bidi w:val="0"/>
        <w:spacing w:before="0" w:after="0"/>
        <w:jc w:val="both"/>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 xml:space="preserve">Won major new tier-1 FTCO customer, propelling TCAD to a record Q3 in bookings of $10.3 million, up 89% year-over-year </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Secured record bookings with our leading RC parasitic reduction solution, Jivaro Pro, in Q3’26 driven by 4 tier-1 wins across multiple end markets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Sold our first internally developed MIPI controller with our industry-leading MIPI PHYs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 xml:space="preserve">Delivered fully functional 2nm MIPI C-PHY/D-PHY combo solution </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Streamlined business around two focused product teams – AI Manufacturing, which includes TCAD multiphysics, FTCO and related technologies and AI Design, which includes Semiconductor IP and complementary EDA solutions</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2"/>
        </w:rPr>
        <w:t>Strengthened leadership team with the addition of David Dutton, our former CEO, to lead Sales</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Third Quarter 2026 Financial Results</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i/>
          <w:color w:val="000000"/>
          <w:sz w:val="22"/>
        </w:rPr>
      </w:pPr>
      <w:r>
        <w:rPr>
          <w:rFonts w:ascii="Times New Roman;serif" w:hAnsi="Times New Roman;serif"/>
          <w:b w:val="false"/>
          <w:i/>
          <w:color w:val="000000"/>
          <w:sz w:val="22"/>
        </w:rPr>
        <w:t>GAAP Financial Results:</w:t>
      </w:r>
    </w:p>
    <w:p>
      <w:pPr>
        <w:pStyle w:val="TextBody"/>
        <w:bidi w:val="0"/>
        <w:spacing w:before="0" w:after="0"/>
        <w:jc w:val="left"/>
      </w:pPr>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 xml:space="preserve">Revenue of $16.3 million, down 13% year-over-year. </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TCAD revenue of $7.6 million, up 16% year-over-year.</w:t>
      </w:r>
    </w:p>
    <w:p>
      <w:pPr>
        <w:pStyle w:val="TextBody"/>
        <w:bidi w:val="0"/>
        <w:spacing w:lineRule="auto" w:line="276"/>
        <w:ind w:left="0" w:right="0" w:hanging="360"/>
        <w:jc w:val="both"/>
      </w:pPr>
      <w:r>
        <w:rPr>
          <w:color w:val="000000"/>
        </w:rPr>
        <w:t>◦</w:t>
      </w:r>
      <w:r>
        <w:rPr>
          <w:rFonts w:ascii="Times New Roman;serif" w:hAnsi="Times New Roman;serif"/>
          <w:b w:val="false"/>
          <w:color w:val="000000"/>
          <w:sz w:val="22"/>
        </w:rPr>
        <w:t>EDA revenue of $4.6 million, down 56% year-over-year.</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SIP revenue of $4.1 million, up 141% year-over-year.</w:t>
      </w:r>
    </w:p>
    <w:p>
      <w:pPr>
        <w:pStyle w:val="TextBody"/>
        <w:bidi w:val="0"/>
        <w:spacing w:before="0" w:after="0"/>
        <w:jc w:val="both"/>
      </w:pPr>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GAAP gross margin of 84%, up 613 basis points year-over-year.</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GAAP operating loss of $4.3 million, compared to $9.3 million operating loss in Q3 2025.</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GAAP net loss of $4.6 million, compared to $5.3 million net loss in Q3 2025.</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GAAP basic and diluted net loss per share of $0.14, compared to basic and diluted net loss per share of $0.18 in Q3 2025.</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 xml:space="preserve">As of quarter-end, cash and cash equivalents totaled $22.0 million. </w:t>
      </w:r>
    </w:p>
    <w:p>
      <w:pPr>
        <w:pStyle w:val="TextBody"/>
        <w:bidi w:val="0"/>
        <w:spacing w:before="0" w:after="0"/>
        <w:jc w:val="left"/>
      </w:pPr>
      <w:r/>
    </w:p>
    <w:p>
      <w:pPr>
        <w:pStyle w:val="TextBody"/>
        <w:bidi w:val="0"/>
        <w:spacing w:lineRule="auto" w:line="276" w:before="0" w:after="0"/>
        <w:jc w:val="both"/>
      </w:pPr>
      <w:r>
        <w:rPr>
          <w:rFonts w:ascii="Times New Roman;serif" w:hAnsi="Times New Roman;serif"/>
          <w:b w:val="false"/>
          <w:i/>
          <w:color w:val="000000"/>
          <w:sz w:val="22"/>
        </w:rPr>
        <w:t>Key Operating Indicators and Non-GAAP Financial Results</w:t>
      </w:r>
      <w:r>
        <w:rPr>
          <w:rFonts w:ascii="Times New Roman;serif" w:hAnsi="Times New Roman;serif"/>
          <w:b w:val="false"/>
          <w:color w:val="000000"/>
          <w:sz w:val="22"/>
        </w:rPr>
        <w:t>:</w:t>
      </w:r>
    </w:p>
    <w:p>
      <w:pPr>
        <w:pStyle w:val="TextBody"/>
        <w:bidi w:val="0"/>
        <w:spacing w:before="0" w:after="0"/>
        <w:jc w:val="left"/>
      </w:pPr>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Gross bookings were $19.3 million, down 15% year-over-year.</w:t>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2"/>
        </w:rPr>
        <w:t>Non-GAAP gross margin of 85%, up 509 basis points year-over-year.</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2"/>
        </w:rPr>
        <w:t>Non-GAAP operating loss of $1.0 million, compared to $2.6 million operating loss in Q3 2025.</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Non-GAAP net loss of $1.3 million, compared to $2.1 million net loss in Q3 2025.</w:t>
      </w:r>
    </w:p>
    <w:p>
      <w:pPr>
        <w:pStyle w:val="TextBody"/>
        <w:bidi w:val="0"/>
        <w:spacing w:lineRule="auto" w:line="276" w:before="0" w:after="0"/>
        <w:ind w:left="0" w:right="0" w:hanging="360"/>
        <w:jc w:val="both"/>
      </w:pPr>
      <w:r>
        <w:rPr>
          <w:color w:val="000000"/>
        </w:rPr>
        <w:t>•</w:t>
      </w:r>
      <w:r>
        <w:rPr>
          <w:rFonts w:ascii="Times New Roman;serif" w:hAnsi="Times New Roman;serif"/>
          <w:b w:val="false"/>
          <w:color w:val="000000"/>
          <w:sz w:val="22"/>
        </w:rPr>
        <w:t>Non-GAAP basic and diluted net loss per share of $0.04, compared to basic and diluted net loss per share of $0.07 in Q3 2025.</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For a discussion of the non-GAAP metrics presented in this press release, as well as a reconciliation of non-GAAP metrics to the nearest comparable GAAP metric, see “Discussion of Non-GAAP Financial Measures” and “GAAP to Non-GAAP Reconciliation” in the accompanying tables below.</w:t>
      </w:r>
    </w:p>
    <w:p>
      <w:pPr>
        <w:pStyle w:val="TextBody"/>
        <w:bidi w:val="0"/>
        <w:spacing w:before="0" w:after="0"/>
        <w:jc w:val="left"/>
      </w:pPr>
      <w:r/>
    </w:p>
    <w:p>
      <w:pPr>
        <w:pStyle w:val="TextBody"/>
        <w:bidi w:val="0"/>
        <w:spacing w:lineRule="auto" w:line="276" w:before="0" w:after="0"/>
        <w:jc w:val="both"/>
      </w:pPr>
      <w:r>
        <w:rPr>
          <w:rFonts w:ascii="Times New Roman;serif" w:hAnsi="Times New Roman;serif"/>
          <w:b w:val="false"/>
          <w:color w:val="000000"/>
          <w:sz w:val="22"/>
        </w:rPr>
        <w:t xml:space="preserve">Supplementary materials to this press release, including third quarter 2026 financial results, can be found at </w:t>
      </w:r>
      <w:r>
        <w:rPr>
          <w:rFonts w:ascii="Times New Roman;serif" w:hAnsi="Times New Roman;serif"/>
          <w:b w:val="false"/>
          <w:color w:val="0000FF"/>
          <w:sz w:val="22"/>
        </w:rPr>
        <w:t>https://investors.silvaco.com/financial-information/quarterly-results</w:t>
      </w:r>
      <w:r>
        <w:rPr>
          <w:rFonts w:ascii="Times New Roman;serif" w:hAnsi="Times New Roman;serif"/>
          <w:b w:val="false"/>
          <w:color w:val="000000"/>
          <w:sz w:val="22"/>
        </w:rPr>
        <w:t>.</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Fourth Quarter Financial Outlook</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2"/>
        </w:rPr>
        <w:t xml:space="preserve">As of November 4, 2026, Silvaco is providing guidance for its fourth quarter of 2026, which represents Silvaco’s current estimates of its operations and financial results. The financial information below represents forward-looking financial information and in some instances forward-looking, non-GAAP financial information </w:t>
      </w:r>
      <w:r>
        <w:rPr>
          <w:rFonts w:ascii="Times New Roman;serif" w:hAnsi="Times New Roman;serif"/>
          <w:b w:val="false"/>
          <w:color w:val="000000"/>
          <w:sz w:val="24"/>
        </w:rPr>
        <w:t>and key operating indicators</w:t>
      </w:r>
      <w:r>
        <w:rPr>
          <w:rFonts w:ascii="Times New Roman;serif" w:hAnsi="Times New Roman;serif"/>
          <w:b w:val="false"/>
          <w:color w:val="000000"/>
          <w:sz w:val="22"/>
        </w:rPr>
        <w:t>, including estimates of Bookings, non-GAAP gross margin and non-GAAP operating expenses. GAAP gross margin is the most comparable GAAP measure to non-GAAP gross margin and GAAP operating expenses are the most comparable GAAP measures to non-GAAP operating expenses. Non-GAAP gross margin differs from GAAP gross margin in that it excludes items such as stock-based compensation expense, acquisition related costs and restructuring, executive severance and other related costs. Non-GAAP operating expenses differ from GAAP operating expenses in that they exclude items such as acquisition related costs, stock-based compensation expense, amortization of acquired intangible assets, and restructuring, executive severance and other related costs. Silvaco is unable to provide guidance for GAAP gross margin or GAAP operating expenses, or a quantitative reconciliation of the corresponding forward-looking non-GAAP measures, because the amount and timing of these adjustments cannot be reasonably estimated at this time without unreasonable effort. These items could be material to Silvaco’s results computed in accordance with GAAP.</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Based on current business trends and conditions, the Company expects for fourth quarter 2026 the following:</w:t>
      </w:r>
    </w:p>
    <w:p>
      <w:pPr>
        <w:pStyle w:val="TextBody"/>
        <w:bidi w:val="0"/>
        <w:spacing w:before="0" w:after="0"/>
        <w:jc w:val="left"/>
      </w:pPr>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2"/>
        </w:rPr>
        <w:t>Bookings of $21.0 million +/- 10%.</w:t>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2"/>
        </w:rPr>
        <w:t>Revenue of $22.0 million +/- 10%.</w:t>
      </w:r>
    </w:p>
    <w:p>
      <w:pPr>
        <w:pStyle w:val="TextBody"/>
        <w:bidi w:val="0"/>
        <w:spacing w:lineRule="auto" w:line="268" w:before="0" w:after="0"/>
        <w:ind w:left="0" w:right="0" w:hanging="360"/>
        <w:jc w:val="both"/>
      </w:pPr>
      <w:r>
        <w:rPr>
          <w:color w:val="000000"/>
        </w:rPr>
        <w:t>•</w:t>
      </w:r>
      <w:r>
        <w:rPr>
          <w:rFonts w:ascii="Times New Roman;serif" w:hAnsi="Times New Roman;serif"/>
          <w:b w:val="false"/>
          <w:color w:val="000000"/>
          <w:sz w:val="22"/>
        </w:rPr>
        <w:t>Non-GAAP gross margin of around 88%.</w:t>
      </w:r>
    </w:p>
    <w:p>
      <w:pPr>
        <w:pStyle w:val="TextBody"/>
        <w:bidi w:val="0"/>
        <w:spacing w:lineRule="auto" w:line="268"/>
        <w:ind w:left="0" w:right="0" w:hanging="360"/>
        <w:jc w:val="both"/>
      </w:pPr>
      <w:r>
        <w:rPr>
          <w:color w:val="000000"/>
        </w:rPr>
        <w:t>•</w:t>
      </w:r>
      <w:r>
        <w:rPr>
          <w:rFonts w:ascii="Times New Roman;serif" w:hAnsi="Times New Roman;serif"/>
          <w:b w:val="false"/>
          <w:color w:val="000000"/>
          <w:sz w:val="22"/>
        </w:rPr>
        <w:t>Non-GAAP operating expenses of $16.0 million +/- 5%.</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Third Quarter 2026 Conference Call Details</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2"/>
        </w:rPr>
        <w:t xml:space="preserve">A press release highlighting the Company's results along with supplemental financial results will be available at </w:t>
      </w:r>
      <w:r>
        <w:rPr>
          <w:rFonts w:ascii="Times New Roman;serif" w:hAnsi="Times New Roman;serif"/>
          <w:b w:val="false"/>
          <w:color w:val="467886"/>
          <w:sz w:val="22"/>
        </w:rPr>
        <w:t>https://investors.silvaco.com/</w:t>
      </w:r>
      <w:r>
        <w:rPr>
          <w:rFonts w:ascii="Times New Roman;serif" w:hAnsi="Times New Roman;serif"/>
          <w:b w:val="false"/>
          <w:color w:val="000000"/>
          <w:sz w:val="22"/>
        </w:rPr>
        <w:t xml:space="preserve">. An archived replay of the conference call will be available on this website for a limited time after the call. Participants who want to join the call and ask a question may register for the call </w:t>
      </w:r>
      <w:r>
        <w:rPr>
          <w:rFonts w:ascii="Times New Roman;serif" w:hAnsi="Times New Roman;serif"/>
          <w:b w:val="false"/>
          <w:color w:val="467886"/>
          <w:sz w:val="22"/>
        </w:rPr>
        <w:t>here</w:t>
      </w:r>
      <w:r>
        <w:rPr>
          <w:color w:val="000000"/>
        </w:rPr>
        <w:t xml:space="preserve"> </w:t>
      </w:r>
      <w:r>
        <w:rPr>
          <w:rFonts w:ascii="Times New Roman;serif" w:hAnsi="Times New Roman;serif"/>
          <w:b w:val="false"/>
          <w:color w:val="000000"/>
          <w:sz w:val="22"/>
        </w:rPr>
        <w:t xml:space="preserve">to receive the dial-in numbers and unique PIN.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 Wednesday, November 4, 2026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Time: 5:00 p.m. Eastern time </w:t>
      </w:r>
    </w:p>
    <w:p>
      <w:pPr>
        <w:pStyle w:val="TextBody"/>
        <w:bidi w:val="0"/>
        <w:spacing w:lineRule="auto" w:line="268" w:before="0" w:after="0"/>
        <w:jc w:val="left"/>
      </w:pPr>
      <w:r>
        <w:rPr>
          <w:rFonts w:ascii="Times New Roman;serif" w:hAnsi="Times New Roman;serif"/>
          <w:b w:val="false"/>
          <w:color w:val="000000"/>
          <w:sz w:val="22"/>
        </w:rPr>
        <w:t xml:space="preserve">Webcast: </w:t>
      </w:r>
      <w:r>
        <w:rPr>
          <w:rFonts w:ascii="Times New Roman;serif" w:hAnsi="Times New Roman;serif"/>
          <w:b w:val="false"/>
          <w:color w:val="467886"/>
          <w:sz w:val="22"/>
        </w:rPr>
        <w:t>Here</w:t>
      </w:r>
      <w:r>
        <w:rPr>
          <w:color w:val="000000"/>
        </w:rPr>
        <w:t xml:space="preserve"> </w:t>
      </w:r>
      <w:r>
        <w:rPr>
          <w:rFonts w:ascii="Times New Roman;serif" w:hAnsi="Times New Roman;serif"/>
          <w:b w:val="false"/>
          <w:color w:val="000000"/>
          <w:sz w:val="22"/>
        </w:rPr>
        <w:t xml:space="preserve">(live and replay) </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About Silvaco</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Silvaco is a provider of AI-driven TCAD and EDA solutions, and SIP solutions that enable semiconductor design and digital twin modeling through AI software and innovation. Silvaco’s solutions are used for semiconductor and photonics processes, devices, and systems development across display, power devices, automotive, memory, high-performance computing, foundries, photonics, internet of things, and 5G/6G mobile markets for complex SoC design. Silvaco is headquartered in Santa Clara, California, and has a global presence with offices located in North America, Europe, Brazil, China, Japan, Korea, Singapore, and Taiwan. Learn more at www.silvaco.com.</w:t>
      </w:r>
    </w:p>
    <w:p>
      <w:pPr>
        <w:pStyle w:val="TextBody"/>
        <w:bidi w:val="0"/>
        <w:spacing w:before="0" w:after="0"/>
        <w:jc w:val="left"/>
      </w:p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based on Silvaco's current expectations. The words “believe”, “estimate”, “expect”, “intend”, “anticipate”, “plan”, “project”, “will”, and similar phrases as they relate to Silvaco are intended to identify such forward-looking statements. These forward-looking statements reflect the current views and assumptions of Silvaco and are subject to various risks and uncertainties that could cause actual results to differ materially from expectations.</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These forward-looking statements include but are not limited to, statements regarding our future operating results, financial position, and guidance, our business strategy and plans, our objectives for future operations, our development or delivery of new or enhanced products, and anticipated results of those products for our customers, our competitive positioning, projected costs, technological capabilities, and plans, and macroeconomic trends.</w:t>
      </w:r>
    </w:p>
    <w:p>
      <w:pPr>
        <w:pStyle w:val="TextBody"/>
        <w:bidi w:val="0"/>
        <w:spacing w:before="0" w:after="0"/>
        <w:jc w:val="left"/>
      </w:p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A variety of risks and factors that are beyond our control could cause actual results to differ materially from those in the forward-looking statements including, without limitation, the following: (a) market conditions; (b) anticipated trends, challenges and growth in our business and the markets in which we operate; (c) our ability to appropriately respond to changing technologies on a timely and cost-effective basis; (d) 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 conflicts between Ukraine and Russia, Israel and Hamas, and the United States and Israel on the one hand and Iran and other regional adversaries on the other, and the ongoing trade disputes among the United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 (p) changes in general economic or business conditions or economic or demographic trends in the United States and foreign countries including changes in tariffs, interest rates and inflation; (q) our ability to raise additional capital; (r) our ability to accurately forecast demand for our software solutions; (s) our ability to successfully retain key personnel, integrate and realize the benefits of acquisitions; (t) our expectations regarding the period during which we qualify as an emerging growth company under the JOBS Act and as a smaller reporting company under the Exchange Act; (u) our expectations regarding our ability to obtain, maintain, protect and enforce intellectual property protection for our technology; and (v) our status as a controlled company.</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2"/>
        </w:rPr>
        <w:t xml:space="preserve">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Accordingly, you should not rely on any of the forward-looking statements. Additional information relating to the uncertainty affecting Silvaco’s business is contained in Silvaco’s filings with the Securities and Exchange Commission. These documents are available on the SEC Filings section of the Investor Relations section of Silvaco’s website at </w:t>
      </w:r>
      <w:r>
        <w:rPr>
          <w:rFonts w:ascii="Times New Roman;serif" w:hAnsi="Times New Roman;serif"/>
          <w:b w:val="false"/>
          <w:color w:val="467886"/>
          <w:sz w:val="22"/>
        </w:rPr>
        <w:t>http://investors.silvaco.com/.</w:t>
      </w:r>
      <w:r>
        <w:rPr>
          <w:color w:val="000000"/>
        </w:rPr>
        <w:t xml:space="preserve"> </w:t>
      </w:r>
      <w:r>
        <w:rPr>
          <w:rFonts w:ascii="Times New Roman;serif" w:hAnsi="Times New Roman;serif"/>
          <w:b w:val="false"/>
          <w:color w:val="000000"/>
          <w:sz w:val="22"/>
        </w:rPr>
        <w:t>These forward-looking statements represent Silvaco’s expectations as of the date of this press release. Subsequent events may cause these expectations to change, and Silvaco disclaims any obligation to update or alter these forward-looking statements in the future, whether as a result of new information, future events or otherwise.</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color w:val="000000"/>
          <w:sz w:val="22"/>
        </w:rPr>
        <w:t>Discussion of Non-GAAP Financial Measures</w:t>
      </w:r>
      <w:r>
        <w:rPr>
          <w:color w:val="000000"/>
        </w:rPr>
        <w:t xml:space="preserve"> </w:t>
      </w:r>
      <w:r>
        <w:rPr>
          <w:rFonts w:ascii="Times New Roman;serif" w:hAnsi="Times New Roman;serif"/>
          <w:b/>
          <w:color w:val="000000"/>
          <w:sz w:val="24"/>
        </w:rPr>
        <w:t>and Other Key Business Metrics</w:t>
      </w:r>
    </w:p>
    <w:p>
      <w:pPr>
        <w:pStyle w:val="TextBody"/>
        <w:bidi w:val="0"/>
        <w:spacing w:before="0" w:after="0"/>
        <w:jc w:val="left"/>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use certain non-GAAP financial measures and key business metrics to supplement the performance measures in our consolidated financial statements, which are presented in accordance with GAAP. These non-GAAP financial measures include non-GAAP gross profit, non-GAAP gross margin, non-GAAP operating income (loss), non-GAAP net income (loss), and non-GAAP basic and diluted net income (loss) per share. Key business metrics include bookings. We use these non-GAAP financial measures and key business metrics for financial and operational decision-making and as a means to assist us in evaluating period-to-period comparisons.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define non-GAAP gross profit as our GAAP gross profit adjusted to exclude certain costs, including stock-based compensation expense, acquisition related costs, and restructuring, executive severance and other related costs. We define non-GAAP gross margin as the ratio of non-GAAP gross profit to revenue. We define non-GAAP operating income (loss), as our GAAP operating income (loss) adjusted to exclude certain costs, including acquisition related costs, stock-based compensation expense, amortization of acquired intangible assets, and restructuring, executive severance and other related costs. We define non-GAAP net income (loss) as our GAAP net income (loss) adjusted to exclude certain costs, including acquisition related costs, stock-based compensation expense, amortization of acquired intangible assets, restructuring, executive severance and other related costs, and the income tax effect on non-GAAP items. Our non-GAAP basic and diluted net income (loss) per share is calculated in the same way as our non-GAAP net income (loss), but on a per share basis. We monitor non-GAAP gross profit, non-GAAP gross margin, non-GAAP operating income (loss), non-GAAP net income (loss) and non-GAAP basic and diluted net income (loss) per share as non-GAAP financial measures to supplement the financial information we present in accordance with GAAP to provide investors with additional information regarding our financial results.</w:t>
      </w:r>
    </w:p>
    <w:p>
      <w:pPr>
        <w:pStyle w:val="TextBody"/>
        <w:bidi w:val="0"/>
        <w:spacing w:before="0" w:after="0"/>
        <w:jc w:val="both"/>
      </w:pPr>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Certain items are excluded from our non-GAAP gross profit, non-GAAP gross margin, non-GAAP operating income (loss), non-GAAP net income (loss) and non-GAAP basic and diluted net income (loss)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per share because these items are non-cash in nature or are not indicative of our core operating performance and render comparisons with prior periods and competitors less meaningful. We adjust GAAP gross profit, GAAP gross margin, GAAP operating income (loss), GAAP net income (loss), and GAAP basic and diluted net income (loss) per share for these items to arrive at non-GAAP gross profit, non-GAAP gross margin, non-GAAP operating income (loss), non-GAAP net income (loss), and non-GAAP basic and diluted net income (loss) per share because these amounts can vary substantially from company to company within our industry depending upon accounting methods and book values of assets, capital structure and the method by which the assets were acquired. By excluding certain items that may not be indicative of our recurring core operating results, we believe that non-GAAP gross profit, non-GAAP gross margin, non-GAAP operating income (loss), non-GAAP net income (loss) and non-GAAP basic and diluted net income (loss) per share provide meaningful supplemental information regarding our performance.</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our financial performance and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define a booking as a signed contract and related purchase commitment from a customer, based on the value set forth in a purchase order. We believe bookings are a useful metric to measure whether we are successful in our sales efforts with new and existing customers and provide an indication of trends in our operating results that are not necessarily reflected in our revenue. Reported bookings may be subject to adjustments and potential cancellations prior to the satisfaction of our customer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821"/>
        <w:gridCol w:w="2174"/>
        <w:gridCol w:w="2169"/>
        <w:gridCol w:w="244"/>
        <w:gridCol w:w="974"/>
        <w:gridCol w:w="126"/>
        <w:gridCol w:w="109"/>
        <w:gridCol w:w="109"/>
        <w:gridCol w:w="109"/>
        <w:gridCol w:w="239"/>
        <w:gridCol w:w="954"/>
        <w:gridCol w:w="177"/>
      </w:tblGrid>
      <w:tr>
        <w:tc>
          <w:tcPr>
            <w:tcW w:w="2821"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7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marketable securities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50,051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46,076</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assets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71,833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76,566</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121,884</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122,642</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current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Vendor financing obligation, current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23,907</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38,403</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non-current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Vendor financing obligation, non-current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 payable, non-current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39,963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47,653</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500,000,000 shares authorized; 34,073,072 and 30,948,403 shares issued and outstanding as of September 30, 2026 and December 31, 2025, respectively</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81,921</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74,989</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121,884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122,642</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240"/>
        <w:jc w:val="center"/>
      </w:pPr>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42"/>
        <w:gridCol w:w="1237"/>
        <w:gridCol w:w="1242"/>
        <w:gridCol w:w="244"/>
        <w:gridCol w:w="837"/>
        <w:gridCol w:w="117"/>
        <w:gridCol w:w="117"/>
        <w:gridCol w:w="117"/>
        <w:gridCol w:w="117"/>
        <w:gridCol w:w="244"/>
        <w:gridCol w:w="837"/>
        <w:gridCol w:w="117"/>
        <w:gridCol w:w="109"/>
        <w:gridCol w:w="109"/>
        <w:gridCol w:w="109"/>
        <w:gridCol w:w="240"/>
        <w:gridCol w:w="843"/>
        <w:gridCol w:w="113"/>
        <w:gridCol w:w="113"/>
        <w:gridCol w:w="113"/>
        <w:gridCol w:w="113"/>
        <w:gridCol w:w="240"/>
        <w:gridCol w:w="843"/>
        <w:gridCol w:w="113"/>
        <w:gridCol w:w="109"/>
        <w:gridCol w:w="109"/>
        <w:gridCol w:w="161"/>
      </w:tblGrid>
      <w:tr>
        <w:tc>
          <w:tcPr>
            <w:tcW w:w="154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revenue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service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16,294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18,672</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51,855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44,812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2,608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4,133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7,669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10,653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13,686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14,539</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44,186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34,159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17,977</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23,881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58,133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73,276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(9,342)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(13,947)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(39,117)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(14,714)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(37,939)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(5,299)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(33,981)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per share amounts:</w:t>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33,962,961 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30,213,143 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32,791,615 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29,412,365 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4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SILVACO GROUP, INC.</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(Unaudited, in thousands)</w:t>
      </w:r>
    </w:p>
    <w:p>
      <w:pPr>
        <w:pStyle w:val="TextBody"/>
        <w:bidi w:val="0"/>
        <w:spacing w:before="0" w:after="160"/>
        <w:jc w:val="center"/>
      </w:pPr>
      <w:r/>
    </w:p>
    <w:tbl>
      <w:tblPr>
        <w:tblW w:w="8739" w:type="dxa"/>
        <w:jc w:val="left"/>
        <w:tblInd w:w="0" w:type="dxa"/>
        <w:tblLayout w:type="fixed"/>
        <w:tblCellMar>
          <w:top w:w="28" w:type="dxa"/>
          <w:left w:w="28" w:type="dxa"/>
          <w:bottom w:w="28" w:type="dxa"/>
          <w:right w:w="28" w:type="dxa"/>
        </w:tblCellMar>
      </w:tblPr>
      <w:tblGrid>
        <w:gridCol w:w="2054"/>
        <w:gridCol w:w="1801"/>
        <w:gridCol w:w="1815"/>
        <w:gridCol w:w="213"/>
        <w:gridCol w:w="786"/>
        <w:gridCol w:w="118"/>
        <w:gridCol w:w="118"/>
        <w:gridCol w:w="118"/>
        <w:gridCol w:w="118"/>
        <w:gridCol w:w="213"/>
        <w:gridCol w:w="786"/>
        <w:gridCol w:w="118"/>
        <w:gridCol w:w="109"/>
        <w:gridCol w:w="109"/>
        <w:gridCol w:w="109"/>
        <w:gridCol w:w="154"/>
      </w:tblGrid>
      <w:tr>
        <w:tc>
          <w:tcPr>
            <w:tcW w:w="205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(14,123)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(33,981)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fixed asset disposal</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estimated credit losses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(amortization) of discounts (premiums) on marketable securities,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derivative liability</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funding of litigation settlement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(17,298)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marketable securities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Maturities of marketable securities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31,193</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equity issuance costs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payroll taxes related to shares withheld from employees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contingent consideration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vendor financing obligation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21,176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 and cash equivalents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4,756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4,714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17,258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19,606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22,014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24,320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tbl>
      <w:tblPr>
        <w:tblW w:w="8410"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217"/>
        <w:gridCol w:w="219"/>
        <w:gridCol w:w="256"/>
        <w:gridCol w:w="217"/>
        <w:gridCol w:w="219"/>
        <w:gridCol w:w="256"/>
        <w:gridCol w:w="217"/>
        <w:gridCol w:w="219"/>
        <w:gridCol w:w="256"/>
        <w:gridCol w:w="217"/>
        <w:gridCol w:w="219"/>
        <w:gridCol w:w="256"/>
        <w:gridCol w:w="217"/>
        <w:gridCol w:w="219"/>
        <w:gridCol w:w="256"/>
        <w:gridCol w:w="109"/>
        <w:gridCol w:w="109"/>
        <w:gridCol w:w="109"/>
        <w:gridCol w:w="217"/>
        <w:gridCol w:w="219"/>
        <w:gridCol w:w="256"/>
        <w:gridCol w:w="217"/>
        <w:gridCol w:w="219"/>
        <w:gridCol w:w="256"/>
        <w:gridCol w:w="217"/>
        <w:gridCol w:w="219"/>
        <w:gridCol w:w="301"/>
      </w:tblGrid>
      <w:t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SILVACO GROUP, INC.</w:t>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w:t>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(Unaudited)</w:t>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Product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Item Category: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 by Country: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16"/>
              </w:rPr>
              <w:t>100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54"/>
        <w:gridCol w:w="1349"/>
        <w:gridCol w:w="1346"/>
        <w:gridCol w:w="219"/>
        <w:gridCol w:w="742"/>
        <w:gridCol w:w="271"/>
        <w:gridCol w:w="109"/>
        <w:gridCol w:w="109"/>
        <w:gridCol w:w="109"/>
        <w:gridCol w:w="219"/>
        <w:gridCol w:w="742"/>
        <w:gridCol w:w="271"/>
        <w:gridCol w:w="109"/>
        <w:gridCol w:w="109"/>
        <w:gridCol w:w="109"/>
        <w:gridCol w:w="219"/>
        <w:gridCol w:w="742"/>
        <w:gridCol w:w="271"/>
        <w:gridCol w:w="109"/>
        <w:gridCol w:w="109"/>
        <w:gridCol w:w="109"/>
        <w:gridCol w:w="219"/>
        <w:gridCol w:w="742"/>
        <w:gridCol w:w="318"/>
      </w:tblGrid>
      <w:tr>
        <w:tc>
          <w:tcPr>
            <w:tcW w:w="155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SILVACO GROUP,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to Non-GAAP Reconciliation</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(Unaudited, in thousands except per share amounts)</w:t>
            </w:r>
          </w:p>
        </w:tc>
      </w:tr>
      <w:t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9/30/2025</w:t>
            </w:r>
          </w:p>
        </w:tc>
      </w:tr>
      <w:t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Gross profit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13,686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14,539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44,186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34,159</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profit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13,896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14,973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44,974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35,218</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Gross Margin</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76</w:t>
            </w:r>
            <w:r>
              <w:rPr>
                <w:color w:val="000000"/>
              </w:rPr>
              <w:t>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Gross Margin</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87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79</w:t>
            </w: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Operating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(9,342)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(13,947)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(39,117)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Amortization of acquired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Operating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(11,334)</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(4,586)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(5,299)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(14,123)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(33,981)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Acquisition related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Restructuring, executive severance and other related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Amortization of acquired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tax effect of non-GAAP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(2,123)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(10,271)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GAAP Net loss per share:</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Net loss per share:</w:t>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used in GAAP net loss per share:</w:t>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33,962,961 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30,213,143 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32,791,615 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29,412,365 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used in non-GAAP net loss per share:</w:t>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33,962,961 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30,213,143 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32,791,615 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29,412,365 </w:t>
            </w:r>
          </w:p>
        </w:tc>
        <w:tc>
          <w:tcPr>
            <w:tcW w:w="3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 xml:space="preserve">Investor Contact: </w:t>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investors@silvaco.com </w:t>
      </w:r>
    </w:p>
    <w:p>
      <w:pPr>
        <w:pStyle w:val="TextBody"/>
        <w:bidi w:val="0"/>
        <w:spacing w:before="0" w:after="0"/>
        <w:jc w:val="left"/>
      </w:p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before="0" w:after="0"/>
        <w:jc w:val="left"/>
      </w:pPr>
      <w:r/>
    </w:p>
    <w:p>
      <w:pPr>
        <w:pStyle w:val="TextBody"/>
        <w:bidi w:val="0"/>
        <w:spacing w:lineRule="auto" w:line="240"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press@silvaco.com </w:t>
      </w:r>
    </w:p>
    <w:p>
      <w:pPr>
        <w:pStyle w:val="TextBody"/>
        <w:bidi w:val="0"/>
        <w:spacing w:before="0" w:after="0"/>
        <w:jc w:val="left"/>
      </w:pPr>
      <w:r/>
    </w:p>
    <w:p>
      <w:pPr>
        <w:pStyle w:val="TextBody"/>
        <w:bidi w:val="0"/>
        <w:jc w:val="center"/>
      </w:pPr>
      <w:r/>
    </w:p>
    <w:p>
      <w:pPr>
        <w:pStyle w:val="TextBody"/>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4314</Words>
  <Characters>24002</Characters>
  <CharactersWithSpaces>27777</CharactersWithSpaces>
  <Paragraphs>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