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9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6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6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lineRule="auto" w:line="288" w:before="0" w:after="120"/>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color w:val="000000"/>
                <w:sz w:val="19"/>
              </w:rPr>
            </w:pPr>
            <w:r>
              <w:rPr>
                <w:rFonts w:ascii="Arial;sans-serif" w:hAnsi="Arial;sans-serif"/>
                <w:b/>
                <w:color w:val="000000"/>
                <w:sz w:val="19"/>
              </w:rPr>
              <w:t>QUARTERLY REPORT PURSUANT TO SECTION 13 OR 15(d) OF THE SECURITIES EXCHANGE ACT OF 1934</w:t>
            </w:r>
          </w:p>
        </w:tc>
      </w:tr>
    </w:tbl>
    <w:p>
      <w:pPr>
        <w:pStyle w:val="TextBody"/>
        <w:bidi w:val="0"/>
        <w:spacing w:lineRule="auto" w:line="288" w:before="0" w:after="120"/>
        <w:jc w:val="center"/>
        <w:rPr>
          <w:rFonts w:ascii="Arial;sans-serif" w:hAnsi="Arial;sans-serif"/>
          <w:b/>
          <w:color w:val="000000"/>
          <w:sz w:val="19"/>
        </w:rPr>
      </w:pPr>
      <w:r>
        <w:rPr>
          <w:rFonts w:ascii="Arial;sans-serif" w:hAnsi="Arial;sans-serif"/>
          <w:b/>
          <w:color w:val="000000"/>
          <w:sz w:val="19"/>
        </w:rPr>
        <w:t>For the quarterly period ended March 31, 2025</w:t>
      </w:r>
    </w:p>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color w:val="000000"/>
                <w:sz w:val="19"/>
              </w:rPr>
            </w:pPr>
            <w:r>
              <w:rPr>
                <w:rFonts w:ascii="Arial;sans-serif" w:hAnsi="Arial;sans-serif"/>
                <w:b/>
                <w:color w:val="000000"/>
                <w:sz w:val="19"/>
              </w:rPr>
              <w:t>TRANSITION REPORT PURSUANT TO SECTION 13 OR 15(d) OF THE SECURITIES EXCHANGE ACT OF 1934</w:t>
            </w:r>
          </w:p>
        </w:tc>
      </w:tr>
    </w:tbl>
    <w:p>
      <w:pPr>
        <w:pStyle w:val="TextBody"/>
        <w:bidi w:val="0"/>
        <w:spacing w:lineRule="auto" w:line="288" w:before="0" w:after="120"/>
        <w:jc w:val="center"/>
        <w:rPr>
          <w:rFonts w:ascii="Arial;sans-serif" w:hAnsi="Arial;sans-serif"/>
          <w:b/>
          <w:color w:val="000000"/>
          <w:sz w:val="19"/>
        </w:rPr>
      </w:pPr>
      <w:r>
        <w:rPr>
          <w:rFonts w:ascii="Arial;sans-serif" w:hAnsi="Arial;sans-serif"/>
          <w:b/>
          <w:color w:val="000000"/>
          <w:sz w:val="19"/>
        </w:rPr>
        <w:t xml:space="preserve">For the transition period from                 to                 </w:t>
      </w:r>
    </w:p>
    <w:p>
      <w:pPr>
        <w:pStyle w:val="TextBody"/>
        <w:bidi w:val="0"/>
        <w:spacing w:lineRule="auto" w:line="288" w:before="0" w:after="240"/>
        <w:jc w:val="center"/>
        <w:rPr>
          <w:rFonts w:ascii="Arial;sans-serif" w:hAnsi="Arial;sans-serif"/>
          <w:b/>
          <w:color w:val="000000"/>
          <w:sz w:val="19"/>
        </w:rPr>
      </w:pPr>
      <w:r>
        <w:rPr>
          <w:rFonts w:ascii="Arial;sans-serif" w:hAnsi="Arial;sans-serif"/>
          <w:b/>
          <w:color w:val="000000"/>
          <w:sz w:val="19"/>
        </w:rPr>
        <w:t xml:space="preserve">Commission file number 001-42043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Silvaco Group, Inc.</w:t>
      </w:r>
    </w:p>
    <w:p>
      <w:pPr>
        <w:pStyle w:val="TextBody"/>
        <w:bidi w:val="0"/>
        <w:spacing w:lineRule="auto" w:line="288" w:before="0" w:after="120"/>
        <w:jc w:val="center"/>
        <w:rPr>
          <w:rFonts w:ascii="Arial;sans-serif" w:hAnsi="Arial;sans-serif"/>
          <w:b/>
          <w:color w:val="000000"/>
          <w:sz w:val="19"/>
        </w:rPr>
      </w:pPr>
      <w:r>
        <w:rPr>
          <w:rFonts w:ascii="Arial;sans-serif" w:hAnsi="Arial;sans-serif"/>
          <w:b/>
          <w:color w:val="000000"/>
          <w:sz w:val="19"/>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903" w:type="dxa"/>
        <w:jc w:val="left"/>
        <w:tblInd w:w="0" w:type="dxa"/>
        <w:tblLayout w:type="fixed"/>
        <w:tblCellMar>
          <w:top w:w="28" w:type="dxa"/>
          <w:left w:w="28" w:type="dxa"/>
          <w:bottom w:w="28" w:type="dxa"/>
          <w:right w:w="28" w:type="dxa"/>
        </w:tblCellMar>
      </w:tblPr>
      <w:tblGrid>
        <w:gridCol w:w="1059"/>
        <w:gridCol w:w="930"/>
        <w:gridCol w:w="936"/>
        <w:gridCol w:w="917"/>
        <w:gridCol w:w="917"/>
        <w:gridCol w:w="925"/>
        <w:gridCol w:w="648"/>
        <w:gridCol w:w="648"/>
        <w:gridCol w:w="923"/>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Delaware</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7372</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27-1503712</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(State or other jurisdiction of</w:t>
            </w:r>
          </w:p>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incorporation or organization)</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(Primary Standard Industrial</w:t>
            </w:r>
          </w:p>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Classification Code Number)</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(I.R.S. Employer</w:t>
            </w:r>
          </w:p>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Identification Number)</w:t>
            </w:r>
          </w:p>
        </w:tc>
      </w:tr>
    </w:tbl>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4701 Patrick Henry Drive, Building #23</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Santa Clara, CA 95054</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(408) 567-1000</w:t>
      </w:r>
    </w:p>
    <w:p>
      <w:pPr>
        <w:pStyle w:val="TextBody"/>
        <w:bidi w:val="0"/>
        <w:spacing w:lineRule="auto" w:line="288" w:before="0" w:after="60"/>
        <w:jc w:val="center"/>
        <w:rPr>
          <w:rFonts w:ascii="Arial;sans-serif" w:hAnsi="Arial;sans-serif"/>
          <w:b/>
          <w:color w:val="000000"/>
          <w:sz w:val="19"/>
        </w:rPr>
      </w:pPr>
      <w:r>
        <w:rPr>
          <w:rFonts w:ascii="Arial;sans-serif" w:hAnsi="Arial;sans-serif"/>
          <w:b/>
          <w:color w:val="000000"/>
          <w:sz w:val="19"/>
        </w:rPr>
        <w:t>(Address, including zip code, and telephone number, including area code, of Registrant’s principal executive offices)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276"/>
        <w:gridCol w:w="1119"/>
        <w:gridCol w:w="1131"/>
        <w:gridCol w:w="109"/>
        <w:gridCol w:w="109"/>
        <w:gridCol w:w="109"/>
        <w:gridCol w:w="604"/>
        <w:gridCol w:w="604"/>
        <w:gridCol w:w="606"/>
        <w:gridCol w:w="109"/>
        <w:gridCol w:w="109"/>
        <w:gridCol w:w="109"/>
        <w:gridCol w:w="1230"/>
        <w:gridCol w:w="1230"/>
        <w:gridCol w:w="1751"/>
      </w:tblGrid>
      <w:tr>
        <w:trPr/>
        <w:tc>
          <w:tcPr>
            <w:tcW w:w="127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r>
      <w:tr>
        <w:trPr/>
        <w:tc>
          <w:tcPr>
            <w:tcW w:w="3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Name of each exchange on which registered</w:t>
            </w:r>
          </w:p>
        </w:tc>
      </w:tr>
      <w:tr>
        <w:trPr/>
        <w:tc>
          <w:tcPr>
            <w:tcW w:w="3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SVCO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The Nasdaq Stock Market LLC</w:t>
            </w:r>
          </w:p>
        </w:tc>
      </w:tr>
    </w:tbl>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5168"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Indicate by check mark whether the registrant is a shell company (as defined in Rule 12b-2 of the Act).     Yes ☐     No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May 5, 2025 the registrant had 29,385,444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240"/>
        <w:jc w:val="center"/>
        <w:rPr>
          <w:rFonts w:ascii="Arial;sans-serif" w:hAnsi="Arial;sans-serif"/>
          <w:b/>
          <w:color w:val="000000"/>
          <w:sz w:val="19"/>
        </w:rPr>
      </w:pPr>
      <w:r>
        <w:rPr>
          <w:rFonts w:ascii="Arial;sans-serif" w:hAnsi="Arial;sans-serif"/>
          <w:b/>
          <w:color w:val="000000"/>
          <w:sz w:val="19"/>
        </w:rPr>
        <w:t>TABLE OF CONTENTS</w:t>
      </w:r>
    </w:p>
    <w:tbl>
      <w:tblPr>
        <w:tblW w:w="8761" w:type="dxa"/>
        <w:jc w:val="left"/>
        <w:tblInd w:w="0" w:type="dxa"/>
        <w:tblLayout w:type="fixed"/>
        <w:tblCellMar>
          <w:top w:w="28" w:type="dxa"/>
          <w:left w:w="28" w:type="dxa"/>
          <w:bottom w:w="28" w:type="dxa"/>
          <w:right w:w="28" w:type="dxa"/>
        </w:tblCellMar>
      </w:tblPr>
      <w:tblGrid>
        <w:gridCol w:w="288"/>
        <w:gridCol w:w="252"/>
        <w:gridCol w:w="255"/>
        <w:gridCol w:w="2449"/>
        <w:gridCol w:w="2449"/>
        <w:gridCol w:w="2452"/>
        <w:gridCol w:w="180"/>
        <w:gridCol w:w="180"/>
        <w:gridCol w:w="256"/>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Page</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PART I.</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10">
              <w:r>
                <w:rPr>
                  <w:rStyle w:val="InternetLink"/>
                  <w:rFonts w:ascii="Arial;sans-serif" w:hAnsi="Arial;sans-serif"/>
                  <w:b w:val="false"/>
                  <w:color w:val="0000FF"/>
                  <w:sz w:val="19"/>
                  <w:u w:val="single"/>
                </w:rPr>
                <w:t>Financial Information</w:t>
              </w:r>
            </w:hyperlink>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b25ceb08619c43f3b1eb8feeec269e0d_10">
              <w:r>
                <w:rPr>
                  <w:rStyle w:val="InternetLink"/>
                  <w:rFonts w:ascii="Arial;sans-serif" w:hAnsi="Arial;sans-serif"/>
                  <w:b w:val="false"/>
                  <w:color w:val="0000FF"/>
                  <w:sz w:val="19"/>
                  <w:u w:val="single"/>
                </w:rPr>
                <w:t>1</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13">
              <w:r>
                <w:rPr>
                  <w:rStyle w:val="InternetLink"/>
                  <w:rFonts w:ascii="Arial;sans-serif" w:hAnsi="Arial;sans-serif"/>
                  <w:b w:val="false"/>
                  <w:color w:val="0000FF"/>
                  <w:sz w:val="19"/>
                  <w:u w:val="single"/>
                </w:rPr>
                <w:t>Financial Statements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5ceb08619c43f3b1eb8feeec269e0d_13">
              <w:r>
                <w:rPr>
                  <w:rStyle w:val="InternetLink"/>
                  <w:rFonts w:ascii="Arial;sans-serif" w:hAnsi="Arial;sans-serif"/>
                  <w:b w:val="false"/>
                  <w:color w:val="0000FF"/>
                  <w:sz w:val="19"/>
                  <w:u w:val="single"/>
                </w:rPr>
                <w:t>1</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16">
              <w:r>
                <w:rPr>
                  <w:rStyle w:val="InternetLink"/>
                  <w:rFonts w:ascii="Arial;sans-serif" w:hAnsi="Arial;sans-serif"/>
                  <w:b w:val="false"/>
                  <w:color w:val="0000FF"/>
                  <w:sz w:val="19"/>
                  <w:u w:val="single"/>
                </w:rPr>
                <w:t>Condensed Consolidated Balance Sheets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5ceb08619c43f3b1eb8feeec269e0d_16">
              <w:r>
                <w:rPr>
                  <w:rStyle w:val="InternetLink"/>
                  <w:rFonts w:ascii="Arial;sans-serif" w:hAnsi="Arial;sans-serif"/>
                  <w:b w:val="false"/>
                  <w:color w:val="0000FF"/>
                  <w:sz w:val="19"/>
                  <w:u w:val="single"/>
                </w:rPr>
                <w:t>1</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16">
              <w:r>
                <w:rPr>
                  <w:rStyle w:val="InternetLink"/>
                  <w:rFonts w:ascii="Arial;sans-serif" w:hAnsi="Arial;sans-serif"/>
                  <w:b w:val="false"/>
                  <w:color w:val="0000FF"/>
                  <w:sz w:val="19"/>
                  <w:u w:val="single"/>
                </w:rPr>
                <w:t>Condensed Consolidated</w:t>
              </w:r>
            </w:hyperlink>
            <w:r>
              <w:rPr>
                <w:color w:val="000000"/>
              </w:rPr>
              <w:t xml:space="preserve"> </w:t>
            </w:r>
            <w:hyperlink w:anchor="ib25ceb08619c43f3b1eb8feeec269e0d_19">
              <w:r>
                <w:rPr>
                  <w:rStyle w:val="InternetLink"/>
                  <w:rFonts w:ascii="Arial;sans-serif" w:hAnsi="Arial;sans-serif"/>
                  <w:b w:val="false"/>
                  <w:color w:val="0000FF"/>
                  <w:sz w:val="19"/>
                  <w:u w:val="single"/>
                </w:rPr>
                <w:t>Statements of (Loss) Income</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5ceb08619c43f3b1eb8feeec269e0d_19">
              <w:r>
                <w:rPr>
                  <w:rStyle w:val="InternetLink"/>
                  <w:rFonts w:ascii="Arial;sans-serif" w:hAnsi="Arial;sans-serif"/>
                  <w:b w:val="false"/>
                  <w:color w:val="0000FF"/>
                  <w:sz w:val="19"/>
                  <w:u w:val="single"/>
                </w:rPr>
                <w:t>2</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16">
              <w:r>
                <w:rPr>
                  <w:rStyle w:val="InternetLink"/>
                  <w:rFonts w:ascii="Arial;sans-serif" w:hAnsi="Arial;sans-serif"/>
                  <w:b w:val="false"/>
                  <w:color w:val="0000FF"/>
                  <w:sz w:val="19"/>
                  <w:u w:val="single"/>
                </w:rPr>
                <w:t>Condensed Consolidated</w:t>
              </w:r>
            </w:hyperlink>
            <w:r>
              <w:rPr>
                <w:color w:val="000000"/>
              </w:rPr>
              <w:t xml:space="preserve"> </w:t>
            </w:r>
            <w:hyperlink w:anchor="ib25ceb08619c43f3b1eb8feeec269e0d_22">
              <w:r>
                <w:rPr>
                  <w:rStyle w:val="InternetLink"/>
                  <w:rFonts w:ascii="Arial;sans-serif" w:hAnsi="Arial;sans-serif"/>
                  <w:b w:val="false"/>
                  <w:color w:val="0000FF"/>
                  <w:sz w:val="19"/>
                  <w:u w:val="single"/>
                </w:rPr>
                <w:t>Statements of Comprehensive (Loss) Income</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5ceb08619c43f3b1eb8feeec269e0d_22">
              <w:r>
                <w:rPr>
                  <w:rStyle w:val="InternetLink"/>
                  <w:rFonts w:ascii="Arial;sans-serif" w:hAnsi="Arial;sans-serif"/>
                  <w:b w:val="false"/>
                  <w:color w:val="0000FF"/>
                  <w:sz w:val="19"/>
                  <w:u w:val="single"/>
                </w:rPr>
                <w:t>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25">
              <w:r>
                <w:rPr>
                  <w:rStyle w:val="InternetLink"/>
                  <w:rFonts w:ascii="Arial;sans-serif" w:hAnsi="Arial;sans-serif"/>
                  <w:b w:val="false"/>
                  <w:color w:val="0000FF"/>
                  <w:sz w:val="19"/>
                  <w:u w:val="single"/>
                </w:rPr>
                <w:t>Consolidated Statements of Stockholders' Equity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5ceb08619c43f3b1eb8feeec269e0d_25">
              <w:r>
                <w:rPr>
                  <w:rStyle w:val="InternetLink"/>
                  <w:rFonts w:ascii="Arial;sans-serif" w:hAnsi="Arial;sans-serif"/>
                  <w:b w:val="false"/>
                  <w:color w:val="0000FF"/>
                  <w:sz w:val="19"/>
                  <w:u w:val="single"/>
                </w:rPr>
                <w:t>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16">
              <w:r>
                <w:rPr>
                  <w:rStyle w:val="InternetLink"/>
                  <w:rFonts w:ascii="Arial;sans-serif" w:hAnsi="Arial;sans-serif"/>
                  <w:b w:val="false"/>
                  <w:color w:val="0000FF"/>
                  <w:sz w:val="19"/>
                  <w:u w:val="single"/>
                </w:rPr>
                <w:t>Condensed Consolidated</w:t>
              </w:r>
            </w:hyperlink>
            <w:r>
              <w:rPr>
                <w:color w:val="000000"/>
              </w:rPr>
              <w:t xml:space="preserve"> </w:t>
            </w:r>
            <w:hyperlink w:anchor="ib25ceb08619c43f3b1eb8feeec269e0d_28">
              <w:r>
                <w:rPr>
                  <w:rStyle w:val="InternetLink"/>
                  <w:rFonts w:ascii="Arial;sans-serif" w:hAnsi="Arial;sans-serif"/>
                  <w:b w:val="false"/>
                  <w:color w:val="0000FF"/>
                  <w:sz w:val="19"/>
                  <w:u w:val="single"/>
                </w:rPr>
                <w:t>Statements of Cash Flows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5ceb08619c43f3b1eb8feeec269e0d_28">
              <w:r>
                <w:rPr>
                  <w:rStyle w:val="InternetLink"/>
                  <w:rFonts w:ascii="Arial;sans-serif" w:hAnsi="Arial;sans-serif"/>
                  <w:b w:val="false"/>
                  <w:color w:val="0000FF"/>
                  <w:sz w:val="19"/>
                  <w:u w:val="single"/>
                </w:rPr>
                <w:t>5</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31">
              <w:r>
                <w:rPr>
                  <w:rStyle w:val="InternetLink"/>
                  <w:rFonts w:ascii="Arial;sans-serif" w:hAnsi="Arial;sans-serif"/>
                  <w:b w:val="false"/>
                  <w:color w:val="0000FF"/>
                  <w:sz w:val="19"/>
                  <w:u w:val="single"/>
                </w:rPr>
                <w:t>Notes to the Condensed Consolidated 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b25ceb08619c43f3b1eb8feeec269e0d_31">
              <w:r>
                <w:rPr>
                  <w:rStyle w:val="InternetLink"/>
                  <w:rFonts w:ascii="Arial;sans-serif" w:hAnsi="Arial;sans-serif"/>
                  <w:b w:val="false"/>
                  <w:color w:val="0000FF"/>
                  <w:sz w:val="19"/>
                  <w:u w:val="single"/>
                </w:rPr>
                <w:t>6</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2.</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25ceb08619c43f3b1eb8feeec269e0d_73">
              <w:r>
                <w:rPr>
                  <w:rStyle w:val="InternetLink"/>
                  <w:rFonts w:ascii="Arial;sans-serif" w:hAnsi="Arial;sans-serif"/>
                  <w:b w:val="false"/>
                  <w:color w:val="0000FF"/>
                  <w:sz w:val="19"/>
                  <w:u w:val="single"/>
                </w:rPr>
                <w:t>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5ceb08619c43f3b1eb8feeec269e0d_73">
              <w:r>
                <w:rPr>
                  <w:rStyle w:val="InternetLink"/>
                  <w:rFonts w:ascii="Arial;sans-serif" w:hAnsi="Arial;sans-serif"/>
                  <w:b w:val="false"/>
                  <w:color w:val="0000FF"/>
                  <w:sz w:val="19"/>
                  <w:u w:val="single"/>
                </w:rPr>
                <w:t>18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3.</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76">
              <w:r>
                <w:rPr>
                  <w:rStyle w:val="InternetLink"/>
                  <w:rFonts w:ascii="Arial;sans-serif" w:hAnsi="Arial;sans-serif"/>
                  <w:b w:val="false"/>
                  <w:color w:val="0000FF"/>
                  <w:sz w:val="19"/>
                  <w:u w:val="single"/>
                </w:rPr>
                <w:t>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5ceb08619c43f3b1eb8feeec269e0d_76">
              <w:r>
                <w:rPr>
                  <w:rStyle w:val="InternetLink"/>
                  <w:rFonts w:ascii="Arial;sans-serif" w:hAnsi="Arial;sans-serif"/>
                  <w:b w:val="false"/>
                  <w:color w:val="0000FF"/>
                  <w:sz w:val="19"/>
                  <w:u w:val="single"/>
                </w:rPr>
                <w:t>30</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4.</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79">
              <w:r>
                <w:rPr>
                  <w:rStyle w:val="InternetLink"/>
                  <w:rFonts w:ascii="Arial;sans-serif" w:hAnsi="Arial;sans-serif"/>
                  <w:b w:val="false"/>
                  <w:color w:val="0000FF"/>
                  <w:sz w:val="19"/>
                  <w:u w:val="single"/>
                </w:rPr>
                <w:t>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5ceb08619c43f3b1eb8feeec269e0d_79">
              <w:r>
                <w:rPr>
                  <w:rStyle w:val="InternetLink"/>
                  <w:rFonts w:ascii="Arial;sans-serif" w:hAnsi="Arial;sans-serif"/>
                  <w:b w:val="false"/>
                  <w:color w:val="0000FF"/>
                  <w:sz w:val="19"/>
                  <w:u w:val="single"/>
                </w:rPr>
                <w:t>30</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PART II.</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82">
              <w:r>
                <w:rPr>
                  <w:rStyle w:val="InternetLink"/>
                  <w:rFonts w:ascii="Arial;sans-serif" w:hAnsi="Arial;sans-serif"/>
                  <w:b w:val="false"/>
                  <w:color w:val="0000FF"/>
                  <w:sz w:val="19"/>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5ceb08619c43f3b1eb8feeec269e0d_82">
              <w:r>
                <w:rPr>
                  <w:rStyle w:val="InternetLink"/>
                  <w:rFonts w:ascii="Arial;sans-serif" w:hAnsi="Arial;sans-serif"/>
                  <w:b w:val="false"/>
                  <w:color w:val="0000FF"/>
                  <w:sz w:val="19"/>
                  <w:u w:val="single"/>
                </w:rPr>
                <w:t>31</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85">
              <w:r>
                <w:rPr>
                  <w:rStyle w:val="InternetLink"/>
                  <w:rFonts w:ascii="Arial;sans-serif" w:hAnsi="Arial;sans-serif"/>
                  <w:b w:val="false"/>
                  <w:color w:val="0000FF"/>
                  <w:sz w:val="19"/>
                  <w:u w:val="singl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b25ceb08619c43f3b1eb8feeec269e0d_85">
              <w:r>
                <w:rPr>
                  <w:rStyle w:val="InternetLink"/>
                  <w:rFonts w:ascii="Arial;sans-serif" w:hAnsi="Arial;sans-serif"/>
                  <w:b w:val="false"/>
                  <w:color w:val="0000FF"/>
                  <w:sz w:val="19"/>
                  <w:u w:val="single"/>
                </w:rPr>
                <w:t>31</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1A.</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88">
              <w:r>
                <w:rPr>
                  <w:rStyle w:val="InternetLink"/>
                  <w:rFonts w:ascii="Arial;sans-serif" w:hAnsi="Arial;sans-serif"/>
                  <w:b w:val="false"/>
                  <w:color w:val="0000FF"/>
                  <w:sz w:val="19"/>
                  <w:u w:val="single"/>
                </w:rPr>
                <w:t>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5ceb08619c43f3b1eb8feeec269e0d_88">
              <w:r>
                <w:rPr>
                  <w:rStyle w:val="InternetLink"/>
                  <w:rFonts w:ascii="Arial;sans-serif" w:hAnsi="Arial;sans-serif"/>
                  <w:b w:val="false"/>
                  <w:color w:val="0000FF"/>
                  <w:sz w:val="19"/>
                  <w:u w:val="single"/>
                </w:rPr>
                <w:t>31</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2.</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91">
              <w:r>
                <w:rPr>
                  <w:rStyle w:val="InternetLink"/>
                  <w:rFonts w:ascii="Arial;sans-serif" w:hAnsi="Arial;sans-serif"/>
                  <w:b w:val="false"/>
                  <w:color w:val="0000FF"/>
                  <w:sz w:val="19"/>
                  <w:u w:val="single"/>
                </w:rPr>
                <w:t>Unregistered Sales of Equity Securities and Use of Proceeds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5ceb08619c43f3b1eb8feeec269e0d_91">
              <w:r>
                <w:rPr>
                  <w:rStyle w:val="InternetLink"/>
                  <w:rFonts w:ascii="Arial;sans-serif" w:hAnsi="Arial;sans-serif"/>
                  <w:b w:val="false"/>
                  <w:color w:val="0000FF"/>
                  <w:sz w:val="19"/>
                  <w:u w:val="single"/>
                </w:rPr>
                <w:t>63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3.</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94">
              <w:r>
                <w:rPr>
                  <w:rStyle w:val="InternetLink"/>
                  <w:rFonts w:ascii="Arial;sans-serif" w:hAnsi="Arial;sans-serif"/>
                  <w:b w:val="false"/>
                  <w:color w:val="0000FF"/>
                  <w:sz w:val="19"/>
                  <w:u w:val="single"/>
                </w:rPr>
                <w:t>Defaults Upon Senior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5ceb08619c43f3b1eb8feeec269e0d_94">
              <w:r>
                <w:rPr>
                  <w:rStyle w:val="InternetLink"/>
                  <w:rFonts w:ascii="Arial;sans-serif" w:hAnsi="Arial;sans-serif"/>
                  <w:b w:val="false"/>
                  <w:color w:val="0000FF"/>
                  <w:sz w:val="19"/>
                  <w:u w:val="single"/>
                </w:rPr>
                <w:t>63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Item 4. </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97">
              <w:r>
                <w:rPr>
                  <w:rStyle w:val="InternetLink"/>
                  <w:rFonts w:ascii="Arial;sans-serif" w:hAnsi="Arial;sans-serif"/>
                  <w:b w:val="false"/>
                  <w:color w:val="0000FF"/>
                  <w:sz w:val="19"/>
                  <w:u w:val="single"/>
                </w:rPr>
                <w:t>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5ceb08619c43f3b1eb8feeec269e0d_97">
              <w:r>
                <w:rPr>
                  <w:rStyle w:val="InternetLink"/>
                  <w:rFonts w:ascii="Arial;sans-serif" w:hAnsi="Arial;sans-serif"/>
                  <w:b w:val="false"/>
                  <w:color w:val="0000FF"/>
                  <w:sz w:val="19"/>
                  <w:u w:val="single"/>
                </w:rPr>
                <w:t>63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5.</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100">
              <w:r>
                <w:rPr>
                  <w:rStyle w:val="InternetLink"/>
                  <w:rFonts w:ascii="Arial;sans-serif" w:hAnsi="Arial;sans-serif"/>
                  <w:b w:val="false"/>
                  <w:color w:val="0000FF"/>
                  <w:sz w:val="19"/>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5ceb08619c43f3b1eb8feeec269e0d_100">
              <w:r>
                <w:rPr>
                  <w:rStyle w:val="InternetLink"/>
                  <w:rFonts w:ascii="Arial;sans-serif" w:hAnsi="Arial;sans-serif"/>
                  <w:b w:val="false"/>
                  <w:color w:val="0000FF"/>
                  <w:sz w:val="19"/>
                  <w:u w:val="single"/>
                </w:rPr>
                <w:t>63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Item 6. </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5ceb08619c43f3b1eb8feeec269e0d_103">
              <w:r>
                <w:rPr>
                  <w:rStyle w:val="InternetLink"/>
                  <w:rFonts w:ascii="Arial;sans-serif" w:hAnsi="Arial;sans-serif"/>
                  <w:b w:val="false"/>
                  <w:color w:val="0000FF"/>
                  <w:sz w:val="19"/>
                  <w:u w:val="single"/>
                </w:rPr>
                <w:t>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5ceb08619c43f3b1eb8feeec269e0d_103">
              <w:r>
                <w:rPr>
                  <w:rStyle w:val="InternetLink"/>
                  <w:rFonts w:ascii="Arial;sans-serif" w:hAnsi="Arial;sans-serif"/>
                  <w:b w:val="false"/>
                  <w:color w:val="0000FF"/>
                  <w:sz w:val="19"/>
                  <w:u w:val="single"/>
                </w:rPr>
                <w:t>64</w:t>
              </w:r>
            </w:hyperlink>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pPr>
      <w:hyperlink w:anchor="ib25ceb08619c43f3b1eb8feeec269e0d_106">
        <w:r>
          <w:rPr>
            <w:rStyle w:val="InternetLink"/>
            <w:rFonts w:ascii="Arial;sans-serif" w:hAnsi="Arial;sans-serif"/>
            <w:b w:val="false"/>
            <w:color w:val="0000FF"/>
            <w:sz w:val="19"/>
            <w:u w:val="single"/>
          </w:rPr>
          <w:t>SIGNATURES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center"/>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BALANCE SHEETS</w:t>
      </w:r>
    </w:p>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(Unaudited, 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921"/>
        <w:gridCol w:w="2233"/>
        <w:gridCol w:w="2232"/>
        <w:gridCol w:w="215"/>
        <w:gridCol w:w="810"/>
        <w:gridCol w:w="120"/>
        <w:gridCol w:w="109"/>
        <w:gridCol w:w="109"/>
        <w:gridCol w:w="109"/>
        <w:gridCol w:w="242"/>
        <w:gridCol w:w="910"/>
        <w:gridCol w:w="195"/>
      </w:tblGrid>
      <w:tr>
        <w:trPr/>
        <w:tc>
          <w:tcPr>
            <w:tcW w:w="2921"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marketable securities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63,071 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 net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99,922 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107,280 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assets:</w:t>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marketable securities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net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portion of contract assets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non-current assets</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38,213 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35,065 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138,135 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142,345 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AND STOCKHOLDERS' EQUITY</w:t>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income taxes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 current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obligation, current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46,744 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liabilities:</w:t>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 non-current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obligation, non-current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54,542 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42,262 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11)</w:t>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Preferred stock, $0.0001 par value; 10,000,000 shares authorized, no shares issued and outstanding as of March 31, 2025 and December 31, 2024</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Common stock, $0.0001 par value; 500,000,000 shares authorized; 28,805,280 and 28,526,615 shares issued and outstanding as of March 31, 2025 and December 31, 2024, respectively</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130,360 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(47,285)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(28,012)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83,593 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100,083 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138,135 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142,345 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8430"/>
                <wp:effectExtent l="0" t="0" r="0" b="0"/>
                <wp:wrapNone/>
                <wp:docPr id="3" name="Frame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(LOSS) INCOME</w:t>
      </w:r>
    </w:p>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(Unaudited, in thousands except share and per share amounts)</w:t>
      </w:r>
    </w:p>
    <w:tbl>
      <w:tblPr>
        <w:tblW w:w="8630" w:type="dxa"/>
        <w:jc w:val="left"/>
        <w:tblInd w:w="0" w:type="dxa"/>
        <w:tblLayout w:type="fixed"/>
        <w:tblCellMar>
          <w:top w:w="28" w:type="dxa"/>
          <w:left w:w="28" w:type="dxa"/>
          <w:bottom w:w="28" w:type="dxa"/>
          <w:right w:w="28" w:type="dxa"/>
        </w:tblCellMar>
      </w:tblPr>
      <w:tblGrid>
        <w:gridCol w:w="2069"/>
        <w:gridCol w:w="1821"/>
        <w:gridCol w:w="1824"/>
        <w:gridCol w:w="212"/>
        <w:gridCol w:w="818"/>
        <w:gridCol w:w="109"/>
        <w:gridCol w:w="109"/>
        <w:gridCol w:w="109"/>
        <w:gridCol w:w="109"/>
        <w:gridCol w:w="212"/>
        <w:gridCol w:w="757"/>
        <w:gridCol w:w="109"/>
        <w:gridCol w:w="109"/>
        <w:gridCol w:w="109"/>
        <w:gridCol w:w="154"/>
      </w:tblGrid>
      <w:tr>
        <w:trPr/>
        <w:tc>
          <w:tcPr>
            <w:tcW w:w="206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Software license revenue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Maintenance and service</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Gross profit</w:t>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expenses: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Selling and marketing</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Estimated litigation claim</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operating expenses</w:t>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(loss) income</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and other expense, net</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 income before income tax provision</w:t>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provision</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 income</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(19,273)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 income per share:</w:t>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and diluted</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 average shares used in computing per share amounts: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and diluted</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28,694,295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20,000,000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8430"/>
                <wp:effectExtent l="0" t="0" r="0" b="0"/>
                <wp:wrapNone/>
                <wp:docPr id="4" name="Frame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COMPREHENSIVE (LOSS) INCOME</w:t>
      </w:r>
    </w:p>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(Unaudited, in thousands)</w:t>
      </w:r>
    </w:p>
    <w:tbl>
      <w:tblPr>
        <w:tblW w:w="6686" w:type="dxa"/>
        <w:jc w:val="left"/>
        <w:tblInd w:w="0" w:type="dxa"/>
        <w:tblLayout w:type="fixed"/>
        <w:tblCellMar>
          <w:top w:w="28" w:type="dxa"/>
          <w:left w:w="28" w:type="dxa"/>
          <w:bottom w:w="28" w:type="dxa"/>
          <w:right w:w="28" w:type="dxa"/>
        </w:tblCellMar>
      </w:tblPr>
      <w:tblGrid>
        <w:gridCol w:w="1322"/>
        <w:gridCol w:w="1162"/>
        <w:gridCol w:w="1175"/>
        <w:gridCol w:w="222"/>
        <w:gridCol w:w="853"/>
        <w:gridCol w:w="114"/>
        <w:gridCol w:w="114"/>
        <w:gridCol w:w="114"/>
        <w:gridCol w:w="114"/>
        <w:gridCol w:w="222"/>
        <w:gridCol w:w="679"/>
        <w:gridCol w:w="114"/>
        <w:gridCol w:w="109"/>
        <w:gridCol w:w="109"/>
        <w:gridCol w:w="109"/>
        <w:gridCol w:w="154"/>
      </w:tblGrid>
      <w:tr>
        <w:trPr/>
        <w:tc>
          <w:tcPr>
            <w:tcW w:w="132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 income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(19,273)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 (loss):</w:t>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 currency translation adjustments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Unrealized loss on marketable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Comprehensive (loss) income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(19,067)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8430"/>
                <wp:effectExtent l="0" t="0" r="0" b="0"/>
                <wp:wrapNone/>
                <wp:docPr id="5" name="Frame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3</w:t>
                      </w:r>
                    </w:p>
                  </w:txbxContent>
                </v:textbox>
                <w10:wrap type="none"/>
              </v:rect>
            </w:pict>
          </mc:Fallback>
        </mc:AlternateContent>
      </w:r>
    </w:p>
    <w:p>
      <w:pPr>
        <w:pStyle w:val="TextBody"/>
        <w:bidi w:val="0"/>
        <w:spacing w:before="0" w:after="190"/>
        <w:jc w:val="both"/>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STOCKHOLDERS' EQUITY</w:t>
      </w:r>
    </w:p>
    <w:p>
      <w:pPr>
        <w:pStyle w:val="TextBody"/>
        <w:bidi w:val="0"/>
        <w:spacing w:lineRule="auto" w:line="288" w:before="0" w:after="480"/>
        <w:jc w:val="center"/>
        <w:rPr>
          <w:rFonts w:ascii="Arial;sans-serif" w:hAnsi="Arial;sans-serif"/>
          <w:b w:val="false"/>
          <w:i/>
          <w:color w:val="000000"/>
          <w:sz w:val="19"/>
        </w:rPr>
      </w:pPr>
      <w:r>
        <w:rPr>
          <w:rFonts w:ascii="Arial;sans-serif" w:hAnsi="Arial;sans-serif"/>
          <w:b w:val="false"/>
          <w:i/>
          <w:color w:val="000000"/>
          <w:sz w:val="19"/>
        </w:rPr>
        <w:t>(Unaudited, in thousands except share amounts)</w:t>
      </w:r>
    </w:p>
    <w:tbl>
      <w:tblPr>
        <w:tblW w:w="10205" w:type="dxa"/>
        <w:jc w:val="center"/>
        <w:tblInd w:w="0" w:type="dxa"/>
        <w:tblLayout w:type="fixed"/>
        <w:tblCellMar>
          <w:top w:w="28" w:type="dxa"/>
          <w:left w:w="28" w:type="dxa"/>
          <w:bottom w:w="28" w:type="dxa"/>
          <w:right w:w="28" w:type="dxa"/>
        </w:tblCellMar>
      </w:tblPr>
      <w:tblGrid>
        <w:gridCol w:w="903"/>
        <w:gridCol w:w="319"/>
        <w:gridCol w:w="321"/>
        <w:gridCol w:w="428"/>
        <w:gridCol w:w="428"/>
        <w:gridCol w:w="358"/>
        <w:gridCol w:w="109"/>
        <w:gridCol w:w="109"/>
        <w:gridCol w:w="109"/>
        <w:gridCol w:w="268"/>
        <w:gridCol w:w="344"/>
        <w:gridCol w:w="139"/>
        <w:gridCol w:w="109"/>
        <w:gridCol w:w="109"/>
        <w:gridCol w:w="109"/>
        <w:gridCol w:w="215"/>
        <w:gridCol w:w="876"/>
        <w:gridCol w:w="111"/>
        <w:gridCol w:w="109"/>
        <w:gridCol w:w="109"/>
        <w:gridCol w:w="109"/>
        <w:gridCol w:w="230"/>
        <w:gridCol w:w="821"/>
        <w:gridCol w:w="120"/>
        <w:gridCol w:w="109"/>
        <w:gridCol w:w="109"/>
        <w:gridCol w:w="109"/>
        <w:gridCol w:w="307"/>
        <w:gridCol w:w="942"/>
        <w:gridCol w:w="159"/>
        <w:gridCol w:w="109"/>
        <w:gridCol w:w="109"/>
        <w:gridCol w:w="109"/>
        <w:gridCol w:w="220"/>
        <w:gridCol w:w="893"/>
        <w:gridCol w:w="168"/>
      </w:tblGrid>
      <w:tr>
        <w:trPr/>
        <w:tc>
          <w:tcPr>
            <w:tcW w:w="90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2025</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0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December 31, 2024</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28,526,615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130,360 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(28,012)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(2,268)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100,083 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for share-based award plans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332,444 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 withholding on restricted stock unit settlements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(53,779)</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(19,273)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(19,273)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March 31, 2025</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28,805,280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132,937 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(47,285)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83,593 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2024</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0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December 31, 2023</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11,392 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9,402 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loss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March 31, 2024</w:t>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12,770 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10,595 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pStyle w:val="TextBody"/>
        <w:bidi w:val="0"/>
        <w:spacing w:before="0" w:after="190"/>
        <w:jc w:val="center"/>
        <w:rPr/>
      </w:pPr>
      <w:r>
        <w:rPr/>
      </w:r>
    </w:p>
    <w:p>
      <w:pPr>
        <w:pStyle w:val="TextBody"/>
        <w:bidi w:val="0"/>
        <w:spacing w:before="0" w:after="19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8430"/>
                <wp:effectExtent l="0" t="0" r="0" b="0"/>
                <wp:wrapNone/>
                <wp:docPr id="6" name="Frame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4</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CASH FLOWS</w:t>
      </w:r>
    </w:p>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(Unaudited, in thousands)</w:t>
      </w:r>
    </w:p>
    <w:tbl>
      <w:tblPr>
        <w:tblW w:w="10205" w:type="dxa"/>
        <w:jc w:val="left"/>
        <w:tblInd w:w="0" w:type="dxa"/>
        <w:tblLayout w:type="fixed"/>
        <w:tblCellMar>
          <w:top w:w="28" w:type="dxa"/>
          <w:left w:w="28" w:type="dxa"/>
          <w:bottom w:w="28" w:type="dxa"/>
          <w:right w:w="28" w:type="dxa"/>
        </w:tblCellMar>
      </w:tblPr>
      <w:tblGrid>
        <w:gridCol w:w="2665"/>
        <w:gridCol w:w="2264"/>
        <w:gridCol w:w="2281"/>
        <w:gridCol w:w="220"/>
        <w:gridCol w:w="834"/>
        <w:gridCol w:w="113"/>
        <w:gridCol w:w="113"/>
        <w:gridCol w:w="113"/>
        <w:gridCol w:w="113"/>
        <w:gridCol w:w="220"/>
        <w:gridCol w:w="673"/>
        <w:gridCol w:w="113"/>
        <w:gridCol w:w="109"/>
        <w:gridCol w:w="109"/>
        <w:gridCol w:w="109"/>
        <w:gridCol w:w="156"/>
      </w:tblGrid>
      <w:tr>
        <w:trPr/>
        <w:tc>
          <w:tcPr>
            <w:tcW w:w="2665"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flows from operating activities:</w:t>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 income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(19,273)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Adjustments to reconcile net (loss) income to net cash (used in) provided by operating activities: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Provision for credit losses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Estimated litigation claim</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Accretion of discount on marketable securities, net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 in fair value of contingent consideration</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Changes in operating assets and liabilities:</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(1,844)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Contract assets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(3,679)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Prepaid expenses and other current assets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assets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expenses and other current liabilities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income taxes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non-current liabilities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cash used in operating activities</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(2,572)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flows from investing activities:</w:t>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Maturities of marketable securities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Acquisition of Process Proximity Compensation</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Purchases of property and equipment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cash provided by (used in) investing activities</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11,404 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flows from financing activities:</w:t>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loan facility</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transaction costs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Payroll taxes related to shares withheld from employees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Contingent consideration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Payments of vendor financing obligation</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cash (used in) provided by financing activities</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3,873 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Effect of exchange rate fluctuations on cash and cash equivalents</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increase in cash and cash equivalents</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9,883 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 beginning of period</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 end of period</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29,489 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5,739 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8430"/>
                <wp:effectExtent l="0" t="0" r="0" b="0"/>
                <wp:wrapNone/>
                <wp:docPr id="7" name="Frame7"/>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5</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CONDENSED CONSOLIDATED FINANCIAL STATEMENTS</w:t>
      </w:r>
    </w:p>
    <w:p>
      <w:pPr>
        <w:pStyle w:val="TextBody"/>
        <w:bidi w:val="0"/>
        <w:spacing w:lineRule="auto" w:line="288" w:before="0" w:after="190"/>
        <w:jc w:val="center"/>
        <w:rPr>
          <w:rFonts w:ascii="Arial;sans-serif" w:hAnsi="Arial;sans-serif"/>
          <w:b/>
          <w:color w:val="000000"/>
          <w:sz w:val="19"/>
        </w:rPr>
      </w:pPr>
      <w:r>
        <w:rPr>
          <w:rFonts w:ascii="Arial;sans-serif" w:hAnsi="Arial;sans-serif"/>
          <w:b/>
          <w:color w:val="000000"/>
          <w:sz w:val="19"/>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 Description of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Silvaco Group, Inc. (“Silvaco,” and the “Company” refers to Silvaco Group Inc. and its subsidiaries, unless the context specifically requires otherwise) was incorporated as a Delaware corporation on November 18, 2009. The Company is a provider of technology computer aided design (“TCAD”) software, electronic data automation (“EDA”) software and semiconductor intellectual property (“SIP”). TCAD, EDA and SIP solutions enable semiconductor and photonics companies to increase productivity, accelerate their products’ time-to-market and reduce their development and manufacturing costs. The Company has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The Company provides SIP for system-on-a-chip (“SoC”), integrated circuits (“ICs”) and SIP management tools to enable team collaborations on complex SoC designs. The Company’s customers include semiconductor manufacturers, original equipment manufacturers (“OEMs”) and design teams who deploy the Company’s solutions in production flows across the Company’s target markets, including display, power devices, automotive, memory, high performance computing (“HPC”), internet of things (“IoT”) and 5G/6G mobile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2. Summary of Significant Accounting and Reporting Policies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Basis of presentation and consolidation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accompanying condensed consolidated financial statements have been prepared in accordance with U.S. Generally Accepted Accounting Principles ("GAAP") and include the accounts of Silvaco and all of the Company's wholly owned subsidiaries with operations in North America, Europe, Asia and South America. All intercompany transactions and balances have been eliminated upon consolidation.</w:t>
      </w:r>
    </w:p>
    <w:p>
      <w:pPr>
        <w:pStyle w:val="TextBody"/>
        <w:bidi w:val="0"/>
        <w:spacing w:lineRule="auto" w:line="288" w:before="0" w:after="190"/>
        <w:jc w:val="both"/>
        <w:rPr/>
      </w:pPr>
      <w:r>
        <w:rPr>
          <w:rFonts w:ascii="Arial;sans-serif" w:hAnsi="Arial;sans-serif"/>
          <w:b w:val="false"/>
          <w:color w:val="000000"/>
          <w:sz w:val="19"/>
        </w:rPr>
        <w:t xml:space="preserve">The condensed consolidated financial statements as of March 31, 2025 and for the three months ended March 31, 2025 and 2024 are unaudited. Certain information and footnote disclosures normally included in annual financial statements prepared in accordance with GAAP have been omitted from these condensed consolidated financial statements, as permitted by Securities and Exchange Commission (“SEC”) rules and regulations. Accordingly, these condensed consolidated financial statements should be read in conjunction with the Company’s audited consolidated financial statements for the year ended December 31, 2024 and the related notes thereto included in the Company’s Annual Report on Form 10-K filed with the SEC on March 5, 2025. </w:t>
      </w:r>
      <w:r>
        <w:rPr>
          <w:rFonts w:ascii="Arial;sans-serif" w:hAnsi="Arial;sans-serif"/>
          <w:b w:val="false"/>
          <w:color w:val="000000"/>
          <w:sz w:val="19"/>
          <w:shd w:fill="FFFFFF" w:val="clear"/>
        </w:rPr>
        <w:t xml:space="preserve">The condensed consolidated balance sheet as of December 31, 2024 was derived from the audited consolidated financial statements as of that date. In management’s opinion, the condensed consolidated financial statements have been prepared on the same basis as the annual financial statements and reflect all adjustments, which include only normal recurring adjustments necessary for the fair statement of the condensed consolidated financial statements.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results of operations for the three months ended March 31, 2025 are not necessarily indicative of the Company’s operating results to be expected for the full fiscal year or any other future interim or annual period.</w:t>
      </w:r>
    </w:p>
    <w:p>
      <w:pPr>
        <w:pStyle w:val="TextBody"/>
        <w:bidi w:val="0"/>
        <w:spacing w:lineRule="auto" w:line="288" w:before="80" w:after="40"/>
        <w:jc w:val="left"/>
        <w:rPr>
          <w:rFonts w:ascii="Arial;sans-serif" w:hAnsi="Arial;sans-serif"/>
          <w:b/>
          <w:i/>
          <w:color w:val="000000"/>
          <w:sz w:val="19"/>
        </w:rPr>
      </w:pPr>
      <w:r>
        <w:rPr>
          <w:rFonts w:ascii="Arial;sans-serif" w:hAnsi="Arial;sans-serif"/>
          <w:b/>
          <w:i/>
          <w:color w:val="000000"/>
          <w:sz w:val="19"/>
        </w:rPr>
        <w:t>Emerging growth company status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8430"/>
                <wp:effectExtent l="0" t="0" r="0" b="0"/>
                <wp:wrapNone/>
                <wp:docPr id="8" name="Frame8"/>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6</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preparation of financial statements in conformity with GAAP requires management to make estimates and assumptions that affect the reported amounts of assets and liabilities and disclosure of contingent assets and liabilities at the date of the financial statements. Estimates also affect the amounts of revenue and expenses during the reported periods. The Company’s most significant estimates relate to revenue recognition. Other estimates include, but are not limited to, accounts receivable allowances, stock-based compensation expense, valuation of goodwill and other intangible assets, contingent consideration, derivative valuations, uncertain tax positions, legal contingencies and income taxes. Actual results could differ from those estimates.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Concentrations of credit risk</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Accounts receivable from customers representing 10% or more of the Company’s total accounts receivable were as follows:</w:t>
      </w:r>
    </w:p>
    <w:tbl>
      <w:tblPr>
        <w:tblW w:w="3551" w:type="dxa"/>
        <w:jc w:val="left"/>
        <w:tblInd w:w="0" w:type="dxa"/>
        <w:tblLayout w:type="fixed"/>
        <w:tblCellMar>
          <w:top w:w="28" w:type="dxa"/>
          <w:left w:w="28" w:type="dxa"/>
          <w:bottom w:w="28" w:type="dxa"/>
          <w:right w:w="28" w:type="dxa"/>
        </w:tblCellMar>
      </w:tblPr>
      <w:tblGrid>
        <w:gridCol w:w="418"/>
        <w:gridCol w:w="368"/>
        <w:gridCol w:w="369"/>
        <w:gridCol w:w="284"/>
        <w:gridCol w:w="284"/>
        <w:gridCol w:w="286"/>
        <w:gridCol w:w="109"/>
        <w:gridCol w:w="109"/>
        <w:gridCol w:w="109"/>
        <w:gridCol w:w="356"/>
        <w:gridCol w:w="356"/>
        <w:gridCol w:w="503"/>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2024</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A</w:t>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9"/>
              </w:rPr>
            </w:pPr>
            <w:r>
              <w:rPr>
                <w:rFonts w:ascii="Arial;sans-serif" w:hAnsi="Arial;sans-serif"/>
                <w:b w:val="false"/>
                <w:color w:val="000000"/>
                <w:sz w:val="19"/>
              </w:rPr>
              <w:t>*</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B</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9"/>
              </w:rPr>
            </w:pPr>
            <w:r>
              <w:rPr>
                <w:rFonts w:ascii="Arial;sans-serif" w:hAnsi="Arial;sans-serif"/>
                <w:b w:val="false"/>
                <w:color w:val="000000"/>
                <w:sz w:val="19"/>
              </w:rPr>
              <w:t>*</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C</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9"/>
              </w:rPr>
            </w:pPr>
            <w:r>
              <w:rPr>
                <w:rFonts w:ascii="Arial;sans-serif" w:hAnsi="Arial;sans-serif"/>
                <w:b w:val="false"/>
                <w:color w:val="000000"/>
                <w:sz w:val="19"/>
              </w:rPr>
              <w:t>*</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D</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9"/>
              </w:rPr>
            </w:pPr>
            <w:r>
              <w:rPr>
                <w:rFonts w:ascii="Arial;sans-serif" w:hAnsi="Arial;sans-serif"/>
                <w:b w:val="false"/>
                <w:color w:val="000000"/>
                <w:sz w:val="19"/>
              </w:rPr>
              <w:t>21%</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E</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15%</w:t>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pPr>
      <w:r>
        <w:rPr>
          <w:rFonts w:ascii="Arial;sans-serif" w:hAnsi="Arial;sans-serif"/>
          <w:b w:val="false"/>
          <w:color w:val="000000"/>
          <w:sz w:val="16"/>
        </w:rPr>
        <w:t>* Customer accounted for less than 10% of total accounts receivable at period end.</w:t>
      </w:r>
      <w:r>
        <w:rPr>
          <w:color w:val="000000"/>
        </w:rPr>
        <w:t xml:space="preserv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Revenue from customers representing 10% or more of the Company’s total revenue was as follows:</w:t>
      </w:r>
    </w:p>
    <w:tbl>
      <w:tblPr>
        <w:tblW w:w="3758" w:type="dxa"/>
        <w:jc w:val="left"/>
        <w:tblInd w:w="0" w:type="dxa"/>
        <w:tblLayout w:type="fixed"/>
        <w:tblCellMar>
          <w:top w:w="28" w:type="dxa"/>
          <w:left w:w="28" w:type="dxa"/>
          <w:bottom w:w="28" w:type="dxa"/>
          <w:right w:w="28" w:type="dxa"/>
        </w:tblCellMar>
      </w:tblPr>
      <w:tblGrid>
        <w:gridCol w:w="424"/>
        <w:gridCol w:w="372"/>
        <w:gridCol w:w="373"/>
        <w:gridCol w:w="275"/>
        <w:gridCol w:w="275"/>
        <w:gridCol w:w="275"/>
        <w:gridCol w:w="275"/>
        <w:gridCol w:w="275"/>
        <w:gridCol w:w="275"/>
        <w:gridCol w:w="275"/>
        <w:gridCol w:w="275"/>
        <w:gridCol w:w="389"/>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2024</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F</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12%</w:t>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9"/>
              </w:rPr>
            </w:pPr>
            <w:r>
              <w:rPr>
                <w:rFonts w:ascii="Arial;sans-serif" w:hAnsi="Arial;sans-serif"/>
                <w:b w:val="false"/>
                <w:color w:val="000000"/>
                <w:sz w:val="19"/>
              </w:rPr>
              <w:t>*</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G</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11%</w:t>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Customer accounted for less than 10% of total revenue during the period.</w:t>
      </w:r>
      <w:r>
        <w:rPr>
          <w:color w:val="000000"/>
        </w:rPr>
        <w:t xml:space="preserve"> </w: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addition to the concentration of credit risk with respect to trade receivables and revenue, the Company's cash on deposit with financial institutions is also exposed to concentration risk. The Company's cash on deposit with financial institutions is insured through various public and private bank deposit insurance programs, foreign and domestic; however, a significant portion of cash balances held as of March 31, 2025 and December 31, 2024 exceeded insured limits.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March 31, 2025, $4.1 million, or 14%, of the Company’s cash and cash equivalents was maintained with one financial institution, where the Company’s current deposits are in excess of federally insured limits, and $6.2 million, or 21%, was held by the Company’s foreign subsidiaries.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Accumulated other comprehensive loss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Accumulated other comprehensive loss is composed of foreign currency translation adjustments and unrealized gains and losses on marketable securities.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Foreign currencies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financial statements of Silvaco's international subsidiaries with local functional currencies are translated to U.S. dollars upon consolidation. Assets and liabilities are translated at the effective exchange rate on the balance sheet date. Results of operations are translated at average exchange rates, which approximate rates in effect when the underlying transactions occur. The Company recorded foreign currency translation adjustments of $0.3 million and $(0.2) million for the three months ended March 31, 2025 and 2024, respectively, within accumulated other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8430"/>
                <wp:effectExtent l="0" t="0" r="0" b="0"/>
                <wp:wrapNone/>
                <wp:docPr id="9" name="Frame9"/>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7</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Certain of the Company’s sales and intercompany transactions are denominated in foreign currencies. These transactions are recorded in functional currency at the appropriate exchange rate on the transaction date. Monetary assets and liabilities denominated in a currency other than the Company's functional currency or its subsidiaries' functional currencies are remeasured at the effective exchange rate on the balance sheet date. Gains and losses resulting from foreign exchange transactions are included in interest and other expense, net in the Company’s condensed consolidated statements of (loss) income. The Company recorded net foreign exchange transaction losses of $0.2 million and $0.1 million for the three months ended March 31, 2025 and 2024, respectively.</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Net (loss) income per share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Basic net (loss) income per share is computed based on the weighted average number of shares of common stock outstanding. Diluted net (loss) income per share is computed based on the weighted average number of common shares outstanding increased by dilutive common stock equivalents attributable to RSU grants. </w:t>
      </w:r>
    </w:p>
    <w:p>
      <w:pPr>
        <w:pStyle w:val="TextBody"/>
        <w:bidi w:val="0"/>
        <w:spacing w:lineRule="auto" w:line="288" w:before="0" w:after="190"/>
        <w:jc w:val="both"/>
        <w:rPr/>
      </w:pPr>
      <w:r>
        <w:rPr>
          <w:rFonts w:ascii="Arial;sans-serif" w:hAnsi="Arial;sans-serif"/>
          <w:b w:val="false"/>
          <w:color w:val="000000"/>
          <w:sz w:val="19"/>
        </w:rPr>
        <w:t>The following outstanding securities were excluded from the computation of diluted net (loss) income per share because (i) the effect would be anti-dilutive for the three months ended March 31, 2025, and (ii) the securities were contingent upon conditions for issuance which were not satisfied as of March 31, 2024. See</w:t>
      </w:r>
      <w:r>
        <w:rPr>
          <w:color w:val="000000"/>
        </w:rPr>
        <w:t xml:space="preserve"> </w:t>
      </w:r>
      <w:hyperlink w:anchor="ib25ceb08619c43f3b1eb8feeec269e0d_55">
        <w:r>
          <w:rPr>
            <w:rStyle w:val="InternetLink"/>
            <w:rFonts w:ascii="Arial;sans-serif" w:hAnsi="Arial;sans-serif"/>
            <w:b w:val="false"/>
            <w:color w:val="0000FF"/>
            <w:sz w:val="19"/>
            <w:u w:val="single"/>
          </w:rPr>
          <w:t>Note 8</w:t>
        </w:r>
      </w:hyperlink>
      <w:r>
        <w:rPr>
          <w:rFonts w:ascii="Arial;sans-serif" w:hAnsi="Arial;sans-serif"/>
          <w:b w:val="false"/>
          <w:color w:val="000000"/>
          <w:sz w:val="19"/>
        </w:rPr>
        <w:t>, Stock-based Compensation for additional information.</w:t>
      </w:r>
    </w:p>
    <w:tbl>
      <w:tblPr>
        <w:tblW w:w="3907" w:type="dxa"/>
        <w:jc w:val="left"/>
        <w:tblInd w:w="0" w:type="dxa"/>
        <w:tblLayout w:type="fixed"/>
        <w:tblCellMar>
          <w:top w:w="28" w:type="dxa"/>
          <w:left w:w="28" w:type="dxa"/>
          <w:bottom w:w="28" w:type="dxa"/>
          <w:right w:w="28" w:type="dxa"/>
        </w:tblCellMar>
      </w:tblPr>
      <w:tblGrid>
        <w:gridCol w:w="422"/>
        <w:gridCol w:w="373"/>
        <w:gridCol w:w="374"/>
        <w:gridCol w:w="510"/>
        <w:gridCol w:w="511"/>
        <w:gridCol w:w="156"/>
        <w:gridCol w:w="109"/>
        <w:gridCol w:w="109"/>
        <w:gridCol w:w="109"/>
        <w:gridCol w:w="510"/>
        <w:gridCol w:w="511"/>
        <w:gridCol w:w="213"/>
      </w:tblGrid>
      <w:tr>
        <w:trPr/>
        <w:tc>
          <w:tcPr>
            <w:tcW w:w="42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 Grants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1,474,294 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4,302,178 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Accounting guidance issued and not yet adopted</w:t>
      </w:r>
    </w:p>
    <w:p>
      <w:pPr>
        <w:pStyle w:val="TextBody"/>
        <w:bidi w:val="0"/>
        <w:spacing w:lineRule="auto" w:line="288" w:before="0" w:after="190"/>
        <w:jc w:val="both"/>
        <w:rPr/>
      </w:pPr>
      <w:r>
        <w:rPr>
          <w:rFonts w:ascii="Arial;sans-serif" w:hAnsi="Arial;sans-serif"/>
          <w:b w:val="false"/>
          <w:color w:val="000000"/>
          <w:sz w:val="19"/>
        </w:rPr>
        <w:t xml:space="preserve">In December 2023, the FASB issued ASU No. 2023-09, </w:t>
      </w:r>
      <w:r>
        <w:rPr>
          <w:rFonts w:ascii="Arial;sans-serif" w:hAnsi="Arial;sans-serif"/>
          <w:b w:val="false"/>
          <w:i/>
          <w:color w:val="000000"/>
          <w:sz w:val="19"/>
        </w:rPr>
        <w:t>Income Taxes (Topic 740)</w:t>
      </w:r>
      <w:r>
        <w:rPr>
          <w:rFonts w:ascii="Arial;sans-serif" w:hAnsi="Arial;sans-serif"/>
          <w:b w:val="false"/>
          <w:color w:val="000000"/>
          <w:sz w:val="19"/>
        </w:rPr>
        <w:t>: Improvement to Income Tax Disclosures to enhance the transparency and decision usefulness of income tax disclosures. This ASU is effective for annual periods beginning after December 15, 2024, on a prospective basis. Early adoption is permitted. The Company is currently evaluating the impact of this accounting standard update on the condensed consolidated financial statements.</w:t>
      </w:r>
    </w:p>
    <w:p>
      <w:pPr>
        <w:pStyle w:val="TextBody"/>
        <w:bidi w:val="0"/>
        <w:spacing w:lineRule="auto" w:line="288" w:before="0" w:after="190"/>
        <w:jc w:val="both"/>
        <w:rPr/>
      </w:pPr>
      <w:r>
        <w:rPr>
          <w:rFonts w:ascii="Arial;sans-serif" w:hAnsi="Arial;sans-serif"/>
          <w:b w:val="false"/>
          <w:color w:val="000000"/>
          <w:sz w:val="19"/>
        </w:rPr>
        <w:t xml:space="preserve">In November 2024, the FASB issued ASU No. 2024-03, </w:t>
      </w:r>
      <w:r>
        <w:rPr>
          <w:rFonts w:ascii="Arial;sans-serif" w:hAnsi="Arial;sans-serif"/>
          <w:b w:val="false"/>
          <w:i/>
          <w:color w:val="000000"/>
          <w:sz w:val="19"/>
        </w:rPr>
        <w:t>Income Statement – Reporting Comprehensive Income – Expense Disaggregation Disclosures (Topic 220)</w:t>
      </w:r>
      <w:r>
        <w:rPr>
          <w:rFonts w:ascii="Arial;sans-serif" w:hAnsi="Arial;sans-serif"/>
          <w:b w:val="false"/>
          <w:color w:val="000000"/>
          <w:sz w:val="19"/>
        </w:rPr>
        <w:t>: Disaggregation of Income Statement Expenses. This ASU requires additional disclosure of certain amounts included in the expense captions presented on the statements of (loss) income as well as disclosures about selling expenses. This ASU is effective on a prospective basis, with the option for retrospective application, for annual periods beginning after December 15, 2026 and interim reporting periods beginning after December 15, 2027. Early adoption is permitted. The Company is currently evaluating the impact of this accounting standard update on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3. Revenue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Company's revenue is derived principally from contracts which promise to deliver combinations of software licensing and related maintenance and services, which are accounted for as separate performance obligations with differing revenue recognition patterns. The transaction price is allocated to each distinct performance obligation based on the relative standalone selling price. Software license revenue consists of the Company’s software sold under a software license and is generally recognized upon shipment and delivery of license keys. Maintenance and service revenue consists of both maintenance revenues, which is recognized ratably over the term of the arrangement, and professional services revenues which is recognized based on when the Company delivers the related service pursuant to the terms of the arrangement.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Customer contracts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it is entitled to. Revenue is recognized when, or as, performance obligations are satisfied by transferring control of a promised software or providing service to a customer.</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For multi-year software licenses, the Company generally invoices customers annually at the beginning of each annual coverage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8430"/>
                <wp:effectExtent l="0" t="0" r="0" b="0"/>
                <wp:wrapNone/>
                <wp:docPr id="10" name="Frame10"/>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8</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Transaction price allocated to the remaining performance obligations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March 31, 2025, approximately $33.7 million of revenue is expected to be recognized from remaining performance obligations. Revenue allocated to remaining performance obligations represents contracted revenue that has not yet been recognized, which includes both deferred revenue and backlog. The Company's backlog represents installment billings for periods beyond the current billing cycle. The Company expects to recognize revenue on approximately 45% of these remaining performance obligations over the next 12 months, with the remaining balance recognized thereafter.</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Deferred revenue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Deferred revenue is comprised mainly of unearned revenue related to maintenance and service on software licenses and pending software license deliveries. Deferred revenue also includes contracts for professional services to be performed in the future.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During the three months ended March 31, 2025, the Company recognized revenue of $2.5 million that was included in the total deferred revenue balance as of December 31, 2024. All other activity in deferred revenue is due to the timing of invoices in relation to the timing of revenue recognized during the three months ended March 31, 2025, as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8430"/>
                <wp:effectExtent l="0" t="0" r="0" b="0"/>
                <wp:wrapNone/>
                <wp:docPr id="11" name="Frame11"/>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9</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4. Acquisitions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Optical Proximity Correction Suite of Tools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March 4, 2025, the Company consummated an asset purchase agreement with Cadence Design Systems, Inc. (“Cadence”), pursuant to which, among other things, Silvaco agreed to acquire certain assets and assume certain liabilities comprising Cadence’s Process Proximity Compensation product line, an optical proximity correction (“OPC”) suite of tools, in exchange for $11.5 million in cash.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acquisition was accounted for as a business combination, and Silvaco recorded the assets acquired and liabilities assumed based on their estimated fair values at the date of the acquisition. Silvaco recorded the excess of consideration transferred over the aggregate fair values of acquired assets and assumed liabilities as goodwill. The goodwill recorded was primarily attributable to synergies expected to arise after the acquisition and the value of the acquired workforce, and is expected to be deductible for U.S. income tax purposes. The Company expects that the addition of the OPC suite of tools and expert team, which are complementary to Silvaco’s EDA and TCAD suite, will enhance Silvaco’s ability to offer advanced computational lithography solutions that address the increasing complexity of semiconductor manufacturing at advanced nodes.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is a summary of the assets acquired and liabilities assumed in the OPC acquisition.</w:t>
      </w:r>
    </w:p>
    <w:tbl>
      <w:tblPr>
        <w:tblW w:w="9789" w:type="dxa"/>
        <w:jc w:val="left"/>
        <w:tblInd w:w="0" w:type="dxa"/>
        <w:tblLayout w:type="fixed"/>
        <w:tblCellMar>
          <w:top w:w="28" w:type="dxa"/>
          <w:left w:w="28" w:type="dxa"/>
          <w:bottom w:w="28" w:type="dxa"/>
          <w:right w:w="28" w:type="dxa"/>
        </w:tblCellMar>
      </w:tblPr>
      <w:tblGrid>
        <w:gridCol w:w="1508"/>
        <w:gridCol w:w="1315"/>
        <w:gridCol w:w="1332"/>
        <w:gridCol w:w="109"/>
        <w:gridCol w:w="109"/>
        <w:gridCol w:w="109"/>
        <w:gridCol w:w="1259"/>
        <w:gridCol w:w="1259"/>
        <w:gridCol w:w="1262"/>
        <w:gridCol w:w="109"/>
        <w:gridCol w:w="109"/>
        <w:gridCol w:w="109"/>
        <w:gridCol w:w="227"/>
        <w:gridCol w:w="808"/>
        <w:gridCol w:w="165"/>
      </w:tblGrid>
      <w:tr>
        <w:trPr/>
        <w:tc>
          <w:tcPr>
            <w:tcW w:w="150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Amortization Period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4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Contract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615 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5,311 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(416)</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assets acquired and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11,500</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fair value of developed technology was determined using a discounted cash flow model through application of the income approach, using the relief-from-royalty method, which assumed a market-based royalty rate applied to projected revenue. The fair value of customer relationships was determined using a discounted cash flow model under the income approach, specifically the multi-period excess earnings method, which discounts future cash flows attributable to existing customers, net of operating expenses and contributory asset charges.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During the three months ended March 31, 2025, the Company incurred $0.7 million in acquisition-related expenses, recognized as general and administrative expense on the condensed consolidated statements of (loss) income.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operating results of OPC have been included in the Company's condensed consolidated financial statements since the date of acquisition and were not material for the period presented. Pro forma results of operations have not been presented because the effects of this acquisition were not material to the Company's condensed consolidated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8430"/>
                <wp:effectExtent l="0" t="0" r="0" b="0"/>
                <wp:wrapNone/>
                <wp:docPr id="12" name="Frame12"/>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10</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5. Goodwill and Intangible Assets</w:t>
      </w:r>
    </w:p>
    <w:p>
      <w:pPr>
        <w:pStyle w:val="TextBody"/>
        <w:bidi w:val="0"/>
        <w:spacing w:lineRule="auto" w:line="288" w:before="0" w:after="190"/>
        <w:jc w:val="both"/>
        <w:rPr/>
      </w:pPr>
      <w:r>
        <w:rPr>
          <w:rFonts w:ascii="Arial;sans-serif" w:hAnsi="Arial;sans-serif"/>
          <w:b w:val="false"/>
          <w:color w:val="000000"/>
          <w:sz w:val="19"/>
        </w:rPr>
        <w:t xml:space="preserve">During the three months ended March 31, 2025, the Company acquired OPC, which resulted in an increase to goodwill of $5.3 million. Refer to </w:t>
      </w:r>
      <w:hyperlink w:anchor="ib25ceb08619c43f3b1eb8feeec269e0d_482">
        <w:r>
          <w:rPr>
            <w:rStyle w:val="InternetLink"/>
            <w:rFonts w:ascii="Arial;sans-serif" w:hAnsi="Arial;sans-serif"/>
            <w:b w:val="false"/>
            <w:color w:val="0000FF"/>
            <w:sz w:val="19"/>
            <w:u w:val="single"/>
          </w:rPr>
          <w:t>Note 4</w:t>
        </w:r>
      </w:hyperlink>
      <w:r>
        <w:rPr>
          <w:rFonts w:ascii="Arial;sans-serif" w:hAnsi="Arial;sans-serif"/>
          <w:b w:val="false"/>
          <w:color w:val="000000"/>
          <w:sz w:val="19"/>
        </w:rPr>
        <w:t>, Acquisitions, for further information.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March 31, 2025 and December 31, 2024, intangible assets were classified as follows:</w:t>
      </w:r>
    </w:p>
    <w:tbl>
      <w:tblPr>
        <w:tblW w:w="10205" w:type="dxa"/>
        <w:jc w:val="left"/>
        <w:tblInd w:w="0" w:type="dxa"/>
        <w:tblLayout w:type="fixed"/>
        <w:tblCellMar>
          <w:top w:w="28" w:type="dxa"/>
          <w:left w:w="28" w:type="dxa"/>
          <w:bottom w:w="28" w:type="dxa"/>
          <w:right w:w="28" w:type="dxa"/>
        </w:tblCellMar>
      </w:tblPr>
      <w:tblGrid>
        <w:gridCol w:w="783"/>
        <w:gridCol w:w="550"/>
        <w:gridCol w:w="553"/>
        <w:gridCol w:w="912"/>
        <w:gridCol w:w="912"/>
        <w:gridCol w:w="914"/>
        <w:gridCol w:w="109"/>
        <w:gridCol w:w="109"/>
        <w:gridCol w:w="109"/>
        <w:gridCol w:w="290"/>
        <w:gridCol w:w="1034"/>
        <w:gridCol w:w="149"/>
        <w:gridCol w:w="109"/>
        <w:gridCol w:w="109"/>
        <w:gridCol w:w="109"/>
        <w:gridCol w:w="385"/>
        <w:gridCol w:w="1182"/>
        <w:gridCol w:w="200"/>
        <w:gridCol w:w="109"/>
        <w:gridCol w:w="109"/>
        <w:gridCol w:w="109"/>
        <w:gridCol w:w="282"/>
        <w:gridCol w:w="866"/>
        <w:gridCol w:w="212"/>
      </w:tblGrid>
      <w:tr>
        <w:trPr/>
        <w:tc>
          <w:tcPr>
            <w:tcW w:w="78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Intangible assets:</w:t>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Amortization Period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Value</w:t>
            </w:r>
          </w:p>
        </w:tc>
      </w:tr>
      <w:tr>
        <w:trPr/>
        <w:tc>
          <w:tcPr>
            <w:tcW w:w="1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Developed technology</w:t>
            </w:r>
          </w:p>
        </w:tc>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(718)</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4,929 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Non-compete agreements</w:t>
            </w:r>
          </w:p>
        </w:tc>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Licensed IP</w:t>
            </w:r>
          </w:p>
        </w:tc>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4,979 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3,984 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 xml:space="preserve">Total intangible assets </w:t>
            </w:r>
          </w:p>
        </w:tc>
        <w:tc>
          <w:tcPr>
            <w:tcW w:w="2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11,789</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(1,792)</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9,997</w:t>
            </w: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90"/>
        <w:jc w:val="both"/>
        <w:rPr/>
      </w:pPr>
      <w:r>
        <w:rPr/>
      </w:r>
    </w:p>
    <w:tbl>
      <w:tblPr>
        <w:tblW w:w="10205" w:type="dxa"/>
        <w:jc w:val="left"/>
        <w:tblInd w:w="0" w:type="dxa"/>
        <w:tblLayout w:type="fixed"/>
        <w:tblCellMar>
          <w:top w:w="28" w:type="dxa"/>
          <w:left w:w="28" w:type="dxa"/>
          <w:bottom w:w="28" w:type="dxa"/>
          <w:right w:w="28" w:type="dxa"/>
        </w:tblCellMar>
      </w:tblPr>
      <w:tblGrid>
        <w:gridCol w:w="784"/>
        <w:gridCol w:w="553"/>
        <w:gridCol w:w="556"/>
        <w:gridCol w:w="918"/>
        <w:gridCol w:w="918"/>
        <w:gridCol w:w="920"/>
        <w:gridCol w:w="109"/>
        <w:gridCol w:w="109"/>
        <w:gridCol w:w="109"/>
        <w:gridCol w:w="313"/>
        <w:gridCol w:w="960"/>
        <w:gridCol w:w="161"/>
        <w:gridCol w:w="109"/>
        <w:gridCol w:w="109"/>
        <w:gridCol w:w="109"/>
        <w:gridCol w:w="386"/>
        <w:gridCol w:w="1187"/>
        <w:gridCol w:w="201"/>
        <w:gridCol w:w="109"/>
        <w:gridCol w:w="109"/>
        <w:gridCol w:w="109"/>
        <w:gridCol w:w="283"/>
        <w:gridCol w:w="869"/>
        <w:gridCol w:w="215"/>
      </w:tblGrid>
      <w:tr>
        <w:trPr/>
        <w:tc>
          <w:tcPr>
            <w:tcW w:w="78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Intangible assets:</w:t>
            </w:r>
          </w:p>
        </w:tc>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Amortization Period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Value</w:t>
            </w:r>
          </w:p>
        </w:tc>
      </w:tr>
      <w:tr>
        <w:trPr/>
        <w:tc>
          <w:tcPr>
            <w:tcW w:w="1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Developed technology</w:t>
            </w:r>
          </w:p>
        </w:tc>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Non-compete agreements</w:t>
            </w:r>
          </w:p>
        </w:tc>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Licensed IP</w:t>
            </w:r>
          </w:p>
        </w:tc>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4,232 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 xml:space="preserve">Total intangible assets </w:t>
            </w:r>
          </w:p>
        </w:tc>
        <w:tc>
          <w:tcPr>
            <w:tcW w:w="2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5,889</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(1,520)</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4,369</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Amortization expense for intangible assets was $0.4 million during the three months ended March 31, 2025, of which $0.2 million was recognized in cost of revenue as the licensed IP relates to recognized sales, with the remainder recognized in research and development expense in the Company’s condensed consolidated statements of (loss) income. Amortization expense for intangible assets was $0.1 million during the three months ended March 31, 2024, all of which was recognized in research and development expense in the Company’s condensed consolidated statements of (loss) income.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January 1, 2025, the Company removed the carrying value of $0.1 million of fully amortized intangible assets which at time of removal had $0 net book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8430"/>
                <wp:effectExtent l="0" t="0" r="0" b="0"/>
                <wp:wrapNone/>
                <wp:docPr id="13" name="Frame1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11</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March 31, 2025, estimated future amortization expense for the intangible assets reflected above was as follows:</w:t>
      </w:r>
    </w:p>
    <w:tbl>
      <w:tblPr>
        <w:tblW w:w="6023" w:type="dxa"/>
        <w:jc w:val="left"/>
        <w:tblInd w:w="0" w:type="dxa"/>
        <w:tblLayout w:type="fixed"/>
        <w:tblCellMar>
          <w:top w:w="28" w:type="dxa"/>
          <w:left w:w="28" w:type="dxa"/>
          <w:bottom w:w="28" w:type="dxa"/>
          <w:right w:w="28" w:type="dxa"/>
        </w:tblCellMar>
      </w:tblPr>
      <w:tblGrid>
        <w:gridCol w:w="1538"/>
        <w:gridCol w:w="1350"/>
        <w:gridCol w:w="1357"/>
        <w:gridCol w:w="145"/>
        <w:gridCol w:w="145"/>
        <w:gridCol w:w="145"/>
        <w:gridCol w:w="280"/>
        <w:gridCol w:w="859"/>
        <w:gridCol w:w="204"/>
      </w:tblGrid>
      <w:tr>
        <w:trPr/>
        <w:tc>
          <w:tcPr>
            <w:tcW w:w="153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60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Ending December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Remainder of 2025</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1,970 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1,970 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1,970 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2029</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Thereafter</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 xml:space="preserve">Total net carrying value of intangible assets </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9,997</w:t>
            </w: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6. Related Parties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has a commercial lease agreement with Kipee International, Inc., a related party controlled by Katherine Ngai-Pesic, who is the Company's founding principal stockholder and chairperson of the Board of Directors, for Silvaco's corporate office in Santa Clara, California. In connection with this lease arrangement, the Company recorded rent expense of $0.1 million during each of the three months ended March 31, 2025 and 2024. The Company's original three year commercial office lease for this property commenced on May 1, 2022, and expired on April 30, 2025. The Company and Kipee International entered into a new commercial lease agreement, effective as of May 1, 2025, for a three year period ending on April 30, 2028.</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 has two international office leases with New Horizons (Cambridge) LTD (“NHC”) and New Horizons France (“NHF”) in Cambridgeshire, England and Grenoble, France, respectively. NHC and NHF are real estate entities owned and controlled by Ms. Ngai-Pesic. In connection with these lease arrangements, the Company recorded rent expense of $0.1 million during each of the three months ended March 31, 2025 and 2024. The Company's right-of-use asset and operating lease liability under the NHC lease, which expires on December 31, 2029, is $0.9 million as of March 31, 2025. The Company's right-of-use asset and operating lease liability under the NHF lease, which expires on April 30, 2026, is $0.1 million as of March 31, 2025.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June 13, 2022, Silvaco entered into a $4.0 million line of credit with Ms. Ngai-Pesic (the “2022 Credit Line”). In connection with this line of credit, the Company recorded interest expense of $0.1 million during the three months ended March 31, 2024. The outstanding amounts due under the 2022 Credit Line were repaid in full and the 2022 Credit Line was terminated in May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7. Debt and Financing Obligations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December 2023, the Company entered into a loan facility with East West Bank (the “East West Bank Loan”) which had a maturity date of December 14, 2025 and provided for borrowings of up to $5.0 million bearing interest at a per annum rate equal to one half of one percent (0.5%) above the greater of (i) the prime rate or (ii) four and one half percent (4.5%). The Company drew $4.3 million and recorded interest expense of $0.1 million on the East West Bank Loan during the three months ended March 31, 2024. In May 2024, the $4.3 million was repaid in full and the East West Bank Loan was terminated.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April 11, 2024, the Company amended its license to use, perform, display, copy, reproduce, modify, adapt, alter, customize, translate or otherwise create derivative works based on certain technology of NXP Semiconductors Netherlands B.V. to develop and make licensed designs for the Company’s account, and to market, demonstrate, promote, sell, offer to sell, distribute and otherwise dispose of such licensed designs for total cash consideration of $6.0 million, to be paid over 5 years, pursuant to which the Company recorded an associated vendor financing obligation, which has a balance of $4.2 million as of March 31, 2025. The Company determined that this vendor financing obligation had an imputed interest rate of 9%, which is reflective of its borrowing rate with similar terms to that of the license agreement, and recognized interest expense of $0.1 million for the three months ended March 31, 2025. The Company’s vendor financing obligation is comprised of the following payments as of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8430"/>
                <wp:effectExtent l="0" t="0" r="0" b="0"/>
                <wp:wrapNone/>
                <wp:docPr id="14" name="Frame1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12</w:t>
                      </w:r>
                    </w:p>
                  </w:txbxContent>
                </v:textbox>
                <w10:wrap type="none"/>
              </v:rect>
            </w:pict>
          </mc:Fallback>
        </mc:AlternateContent>
      </w:r>
    </w:p>
    <w:p>
      <w:pPr>
        <w:pStyle w:val="TextBody"/>
        <w:bidi w:val="0"/>
        <w:spacing w:before="0" w:after="190"/>
        <w:jc w:val="both"/>
        <w:rPr/>
      </w:pPr>
      <w:r>
        <w:rPr/>
      </w:r>
    </w:p>
    <w:tbl>
      <w:tblPr>
        <w:tblW w:w="5114" w:type="dxa"/>
        <w:jc w:val="left"/>
        <w:tblInd w:w="0" w:type="dxa"/>
        <w:tblLayout w:type="fixed"/>
        <w:tblCellMar>
          <w:top w:w="28" w:type="dxa"/>
          <w:left w:w="28" w:type="dxa"/>
          <w:bottom w:w="28" w:type="dxa"/>
          <w:right w:w="28" w:type="dxa"/>
        </w:tblCellMar>
      </w:tblPr>
      <w:tblGrid>
        <w:gridCol w:w="1420"/>
        <w:gridCol w:w="1244"/>
        <w:gridCol w:w="1251"/>
        <w:gridCol w:w="250"/>
        <w:gridCol w:w="767"/>
        <w:gridCol w:w="182"/>
      </w:tblGrid>
      <w:tr>
        <w:trPr/>
        <w:tc>
          <w:tcPr>
            <w:tcW w:w="142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u w:val="single"/>
              </w:rPr>
            </w:pPr>
            <w:r>
              <w:rPr>
                <w:rFonts w:ascii="Arial;sans-serif" w:hAnsi="Arial;sans-serif"/>
                <w:b/>
                <w:color w:val="000000"/>
                <w:sz w:val="19"/>
                <w:u w:val="single"/>
              </w:rPr>
              <w:t>For the year ending December 31,</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Remainder of 2025</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undiscounted cash flows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Imputed interest</w:t>
            </w:r>
          </w:p>
        </w:tc>
        <w:tc>
          <w:tcPr>
            <w:tcW w:w="10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614 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Present value of vendor financing obligation</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4,186 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Vendor financing obligation, current</w:t>
            </w:r>
          </w:p>
        </w:tc>
        <w:tc>
          <w:tcPr>
            <w:tcW w:w="10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1,191 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Vendor financing obligation, non-current</w:t>
            </w:r>
          </w:p>
        </w:tc>
        <w:tc>
          <w:tcPr>
            <w:tcW w:w="25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2,995 </w:t>
            </w:r>
          </w:p>
        </w:tc>
        <w:tc>
          <w:tcPr>
            <w:tcW w:w="18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8. Stock-Based Compensation</w:t>
      </w:r>
    </w:p>
    <w:p>
      <w:pPr>
        <w:pStyle w:val="TextBody"/>
        <w:bidi w:val="0"/>
        <w:spacing w:lineRule="auto" w:line="288" w:before="0" w:after="190"/>
        <w:jc w:val="both"/>
        <w:rPr>
          <w:rFonts w:ascii="Arial;sans-serif" w:hAnsi="Arial;sans-serif"/>
          <w:b w:val="false"/>
          <w:i/>
          <w:color w:val="000000"/>
          <w:sz w:val="19"/>
        </w:rPr>
      </w:pPr>
      <w:r>
        <w:rPr>
          <w:rFonts w:ascii="Arial;sans-serif" w:hAnsi="Arial;sans-serif"/>
          <w:b w:val="false"/>
          <w:i/>
          <w:color w:val="000000"/>
          <w:sz w:val="19"/>
        </w:rPr>
        <w:t>Stock-Based Compensation Plans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March 18, 2024, the number of shares of common stock reserved for issuance under the Company’s 2014 Stock Incentive Plan (the “2014 Plan”) was increased to 4.6 million and the term of the 2014 Plan was extended to March 18, 2034. On April 26, 2024, in connection with the Company’s initial public offering (“IPO”), the Company’s board of directors approved and adopted, subject to stockholder approval, the 2024 Stock Incentive Plan (“2024 Plan”), and the Company’s stockholders approved the 2024 Plan on April 29, 2024. The 2024 Plan became effective on May 8, 2024 and supersedes the Company’s 2014 Plan. All forfeited shares underlying RSUs granted under the 2014 Plan and shares reserved for future issuance under the 2014 Plan are included in the share reserve under the 2024 Plan. As of March 31, 2025, the number of shares of common stock reserved for future issuance under the 2024 Plan was 4,084,852.</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summarizes the Company's RSU activity pursuant to the 2014 Plan and the 2024 Plan for the three months ended March 31, 2025:</w:t>
      </w:r>
    </w:p>
    <w:tbl>
      <w:tblPr>
        <w:tblW w:w="10205" w:type="dxa"/>
        <w:jc w:val="left"/>
        <w:tblInd w:w="0" w:type="dxa"/>
        <w:tblLayout w:type="fixed"/>
        <w:tblCellMar>
          <w:top w:w="28" w:type="dxa"/>
          <w:left w:w="28" w:type="dxa"/>
          <w:bottom w:w="28" w:type="dxa"/>
          <w:right w:w="28" w:type="dxa"/>
        </w:tblCellMar>
      </w:tblPr>
      <w:tblGrid>
        <w:gridCol w:w="1095"/>
        <w:gridCol w:w="960"/>
        <w:gridCol w:w="966"/>
        <w:gridCol w:w="109"/>
        <w:gridCol w:w="109"/>
        <w:gridCol w:w="109"/>
        <w:gridCol w:w="378"/>
        <w:gridCol w:w="1157"/>
        <w:gridCol w:w="194"/>
        <w:gridCol w:w="109"/>
        <w:gridCol w:w="109"/>
        <w:gridCol w:w="109"/>
        <w:gridCol w:w="930"/>
        <w:gridCol w:w="930"/>
        <w:gridCol w:w="933"/>
        <w:gridCol w:w="109"/>
        <w:gridCol w:w="109"/>
        <w:gridCol w:w="109"/>
        <w:gridCol w:w="510"/>
        <w:gridCol w:w="511"/>
        <w:gridCol w:w="660"/>
      </w:tblGrid>
      <w:tr>
        <w:trPr/>
        <w:tc>
          <w:tcPr>
            <w:tcW w:w="109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Awards</w:t>
            </w:r>
          </w:p>
        </w:tc>
      </w:tr>
      <w:tr>
        <w:trPr/>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Contract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12.75</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1,503,662</w:t>
            </w:r>
            <w:r>
              <w:rPr>
                <w:color w:val="000000"/>
              </w:rPr>
              <w:t>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321,846 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(332,444)</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Forfeited /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(18,770)</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12.43</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1,474,294</w:t>
            </w:r>
            <w:r>
              <w:rPr>
                <w:color w:val="000000"/>
              </w:rPr>
              <w:t>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i/>
          <w:color w:val="000000"/>
          <w:sz w:val="19"/>
        </w:rPr>
      </w:pPr>
      <w:r>
        <w:rPr>
          <w:rFonts w:ascii="Arial;sans-serif" w:hAnsi="Arial;sans-serif"/>
          <w:b w:val="false"/>
          <w:i/>
          <w:color w:val="000000"/>
          <w:sz w:val="19"/>
        </w:rPr>
        <w:t xml:space="preserve">Stock-based Compensation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issues RSUs to its employees, directors and service providers. The RSUs awarded under the 2014 Plan generally had two vesting requirements, a Time-Based Requirement and a Liquidity Event Requirement. The Liquidity Event Requirement would be satisfied as to any then-outstanding RSUs on the first to occur of: (1) a change in control event (as defined in the award agreement) or (2) the first sale of common stock pursuant to an underwritten IPO, in either case, within 10 years of the grant date. The Liquidity Event Requirement was satisfied upon the consummation of the IPO on May 13, 2024. The Time-Based Requirement generally requires four years for full vesting of the grants, with 25% vesting after one year and quarterly vesting over the subsequent three years. Certain grants have had modified time-based vesting requirements, including certain grants that have been issued with the Time-Based Requirement satisfied on the grant date. The Company recognizes its stock-based compensation expense ratably over the requisite service period, which is generally four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8430"/>
                <wp:effectExtent l="0" t="0" r="0" b="0"/>
                <wp:wrapNone/>
                <wp:docPr id="15" name="Frame1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13</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Prior to the IPO the Company did not record stock-based compensation expense for the RSUs, as the Liquidity Event Requirement was not deemed probable. Upon the consummation of the Company’s IPO, the Liquidity Event Requirement was met, and the Company incurred stock-based compensation expense associated with (i) RSUs granted to active employees and service providers, (ii) RSUs granted to certain former employees and service providers whose RSUs vested in connection with the Liquidity Event, and (iii) the acceleration of the Time Based Requirement for certain awards to executive officers, senior management and directors as a result of the Liquidity Event.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During the three months ended March 31, 2025, the Company’s compensation committee granted a variable number of RSUs to executives which have a vesting term of four years. The number of RSUs issued are calculated as the five day volume-weighted average price of the Company’s common stock on April 1, 2025. As the Company has an obligation to issue a variable number of shares for a fixed monetary amount, the RSUs were accounted for as liability-classified awards and re-measured to their fair value based on the closing fair market value price of the Company’s common stock on April 1, 2025. The Company recognized stock-based compensation expense of $0.1 million associated with the liability-classified RSUs during the three months ended March 31, 2025, with a corresponding increase to accrued expenses of $0.1 million. If the awards were finalized on March 31, 2025, the Company would have been required to issue 663,581 RSUs.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During the three months ended March 31, 2025, the Company recorded total stock-based compensation expense of $2.3 million for the service period through such date using the straight-line attribution method, net of actual forfeitures, based on the grant-date fair value of the RSU awards. The following table summarizes stock-based compensation expense by function for the three months ended March 31, 2025:</w:t>
      </w:r>
    </w:p>
    <w:tbl>
      <w:tblPr>
        <w:tblW w:w="5490" w:type="dxa"/>
        <w:jc w:val="left"/>
        <w:tblInd w:w="0" w:type="dxa"/>
        <w:tblLayout w:type="fixed"/>
        <w:tblCellMar>
          <w:top w:w="28" w:type="dxa"/>
          <w:left w:w="28" w:type="dxa"/>
          <w:bottom w:w="28" w:type="dxa"/>
          <w:right w:w="28" w:type="dxa"/>
        </w:tblCellMar>
      </w:tblPr>
      <w:tblGrid>
        <w:gridCol w:w="903"/>
        <w:gridCol w:w="792"/>
        <w:gridCol w:w="795"/>
        <w:gridCol w:w="626"/>
        <w:gridCol w:w="1917"/>
        <w:gridCol w:w="457"/>
      </w:tblGrid>
      <w:tr>
        <w:trPr/>
        <w:tc>
          <w:tcPr>
            <w:tcW w:w="9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2025</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2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Sales and marketing</w:t>
            </w:r>
          </w:p>
        </w:tc>
        <w:tc>
          <w:tcPr>
            <w:tcW w:w="2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323 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2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1,511 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2,277 </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March 31, 2025, the Company had unrecognized stock-based compensation expense of $18.1 million which is expected to be recognized over a weighted average period of 2.7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9. Income Taxes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During the three months ended March 31, 2025 and 2024, the Company recorded an income tax provision of $0.2 million and $0.8 million, respectively. The effective tax rate for the three months ended March 31, 2025 and 2024 was (1)% and 37%, respectively.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determines its income tax provision for interim periods using an estimate of its annual effective tax rate adjusted for discrete items occurring during the periods presented. The primary difference between its effective tax rate and the federal statutory rate is attributable to state income taxes, foreign income taxes, the effect of certain permanent differences, and a full valuation allowance against net deferred tax assets.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files U.S. federal income tax returns, as well as income tax returns in various state jurisdictions and certain foreign jurisdictions. The Company is not currently under audit by the Internal Revenue Service or other similar state, local, and foreign authorities. All tax years remain open to examination by major taxing jurisdictions to which the Company is subject for a period of three years for federal and four years for states, after the utilization of net operating losses and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8430"/>
                <wp:effectExtent l="0" t="0" r="0" b="0"/>
                <wp:wrapNone/>
                <wp:docPr id="16" name="Frame1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14</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10. Segment Reporting</w:t>
      </w:r>
    </w:p>
    <w:p>
      <w:pPr>
        <w:pStyle w:val="TextBody"/>
        <w:bidi w:val="0"/>
        <w:spacing w:lineRule="auto" w:line="288" w:before="0" w:after="190"/>
        <w:jc w:val="both"/>
        <w:rPr/>
      </w:pPr>
      <w:r>
        <w:rPr>
          <w:rFonts w:ascii="Arial;sans-serif" w:hAnsi="Arial;sans-serif"/>
          <w:b w:val="false"/>
          <w:color w:val="000000"/>
          <w:sz w:val="19"/>
        </w:rPr>
        <w:t xml:space="preserve">The Company manages its operations through an evaluation of a consolidated business segment that solves semiconductor design challenges by offering affordable and competitive TCAD software, EDA software and design IP to support engineers and researchers across the globe. The chief operating decision maker (‘CODM”), who is the Company’s Chief Executive Officer, Dr. Babak A. Taheri, </w:t>
      </w:r>
      <w:r>
        <w:rPr>
          <w:rFonts w:ascii="Arial;sans-serif" w:hAnsi="Arial;sans-serif"/>
          <w:b w:val="false"/>
          <w:color w:val="000000"/>
          <w:sz w:val="19"/>
          <w:shd w:fill="FFFFFF" w:val="clear"/>
        </w:rPr>
        <w:t xml:space="preserve">reviews financial information presented on a consolidated basis for purposes of allocating resources and evaluating financial performance. As such, the Company’s operations constitute a single operating segment and </w:t>
      </w:r>
      <w:r>
        <w:rPr>
          <w:rFonts w:ascii="Arial;sans-serif" w:hAnsi="Arial;sans-serif"/>
          <w:b w:val="false"/>
          <w:color w:val="000000"/>
          <w:sz w:val="19"/>
        </w:rPr>
        <w:t>one reportable segment.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presents a summary of revenue, payroll expenses, which the CODM reviews in assessing Company performance and deciding how to allocate resources, and total other expenses as a reconciliation to consolidated net (loss) income for the three months ended March 31, 2025 and 2024.</w:t>
      </w:r>
    </w:p>
    <w:tbl>
      <w:tblPr>
        <w:tblW w:w="5030" w:type="dxa"/>
        <w:jc w:val="left"/>
        <w:tblInd w:w="0" w:type="dxa"/>
        <w:tblLayout w:type="fixed"/>
        <w:tblCellMar>
          <w:top w:w="28" w:type="dxa"/>
          <w:left w:w="28" w:type="dxa"/>
          <w:bottom w:w="28" w:type="dxa"/>
          <w:right w:w="28" w:type="dxa"/>
        </w:tblCellMar>
      </w:tblPr>
      <w:tblGrid>
        <w:gridCol w:w="772"/>
        <w:gridCol w:w="677"/>
        <w:gridCol w:w="680"/>
        <w:gridCol w:w="109"/>
        <w:gridCol w:w="109"/>
        <w:gridCol w:w="109"/>
        <w:gridCol w:w="211"/>
        <w:gridCol w:w="811"/>
        <w:gridCol w:w="109"/>
        <w:gridCol w:w="109"/>
        <w:gridCol w:w="109"/>
        <w:gridCol w:w="109"/>
        <w:gridCol w:w="211"/>
        <w:gridCol w:w="751"/>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15,889 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Payroll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All 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(19,273)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1,378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11. Commitments and Contingencies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Warranties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typically provides its customers a warranty on its software licenses for a period of no more than 90 days and on its other tools for a period of no more than one year. Such warranties are accounted for in accordance with the authoritative guidance issued by the FASB on contingencies. For the three months ended March 31, 2025, and 2024, the Company has not incurred any costs related to warranty obligations.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Indemnification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Under the terms of substantially all of its license agreements, the Company has agreed to indemnify its customers for costs and damages arising from claims against such customers based on, among other things, allegations that the Company’s software infringes the intellectual property rights of a third party. In most cases, in the event of an infringement claim, the Company retains the right to (i) procure for the customer the right to continue using the software; (ii) replace or modify the software to eliminate the infringement while providing substantially equivalent functionality; or (iii) if neither (i) nor (ii) can be reasonably achieved, the Company may terminate the license agreement and refund to the customer a pro-rata portion of the license fee paid to the Company. Such indemnification provisions are accounted for in accordance with the authoritative guidance issued by the FASB on guarantees. From time to time, in the ordinary course of business, the Company receives claims for indemnification.</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December 2020, the Company sought declaratory relief in the California Superior Court to clarify its obligations regarding the earnout payments due to the selling shareholders of Nangate, Inc. (“Nangate”) following its acquisition by the Company in 2018. In February 2021, two of the selling shareholders of Nangate, along with a third cross-complainant (collectively, the “Nangate Parties”) filed a cross-complaint against the Company, as well as one current and one former member of the Company’s board of directors (the “Co-Defendants”). The cross-complaint alleged breach of contract, fraud, and negligent misrepresentation among other causes of action.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January 2022, the Nangate Parties filed a third amended cross-complaint against the Company, as well as one current and one former member of the Company’s board of directors, seeking $20.0 million in damages for breach of contract, fraud, and unfair business practices, as well as punitive damages.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8430"/>
                <wp:effectExtent l="0" t="0" r="0" b="0"/>
                <wp:wrapNone/>
                <wp:docPr id="17" name="Frame17"/>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15</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July 23, 2024, a jury awarded the Nangate Parties $11.3 million in damages under breach of contract related claims, including breach of contract and breach of the covenant of good faith and fair dealing, and court and litigation related costs and certain expert expenses subject to the Nangate Parties establishing the legal right to them and to be determined by the court (the “Contract Damages”). As a result, during the year ended December 31, 2024, the Company recorded a charge to estimated litigation claim and accrued expenses and other current liabilities of $11.3 million for the Contract Damages awarded to the Nangate Parties.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jury also found the Company and the Co-Defendants liable for certain of the fraudulent and negligent misrepresentation claims and awarded the Nangate Parties $6.6 million. Incremental punitive damages relating to these claims, including $17.0 million payable by the Company and a total of $16.0 million to be paid by the Co-Defendants, were awarded following a hearing on August 16, 2024 (collectively, the “Fraud Damages”). The Nangate Parties have the option to choose either the Contract Damages or the Fraud Damages, but in no circumstances will the Nangate Parties receive both remedies.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parties have reached preliminary agreement on key terms of a potential settlement, subject to negotiation and execution of a settlement agreement. The Company estimates its probable loss to be $24.4 million, which resulted in an additional charge recorded to estimated litigation claim and accrued expenses and other current liabilities of $13.1 million for the three months ended March 31, 2025. The Company can give no assurance that a settlement will be finalized. If a settlement is not finalized, the Company and the Co-Defendants can appeal the judgement, which will require the Company to collateralize and post an appellate bond of up to $35.4 million. The Company believes it has strong grounds for appeal and is pursuing post-trial motions. Additionally, the Company believes that there are strong arguments in support of substantially reducing the punitive damages portion of the Fraud Damages, which the Company believes are excessive under California Law, and the United States and California constitutions, particularly given the disproportionate nature of the punitive damages relative to the compensatory damages.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is subject export control and import laws and regulations of the United States and other applicable jurisdictions, including the Export Administration Regulations. Between August 2019 and June 2022, the Company filed voluntary self-disclosures with U.S. Department of Commerce, Bureau of Industry and Security (“BIS”) regarding potential violations of U.S. export control laws and regulations, specifically, the export of the Company’s licenses to certain parties designated on BIS’s Entity List and Unverified List, and the export of certain software modules without a license which was required at the time of the transaction. Such software modules were declassified by BIS in October 2020 to a lesser controlled export classification, meaning that such software generally no longer requires an export license. In April 2025, BIS issued a warning letter in response to the voluntary self-disclosures instead of pursuing criminal or administrative penalties or taking other enforcement action. However, as is common in these instances, BIS reserved the right to take future enforcement action should additional information warrant renewed attention.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 is also involved in routine legal proceedings in the ordinary course of business. Unless disclosed above, the outcome of such matters is not expected to have a material adverse effect on the Company’s consolidated financial position, results of operations, or liquidity. However, each of these matters is subject to various uncertainties and it is possible that an unfavorable resolution of one or more of these proceedings could materially affect the Company's results of operations, cash flows or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8430"/>
                <wp:effectExtent l="0" t="0" r="0" b="0"/>
                <wp:wrapNone/>
                <wp:docPr id="18" name="Frame18"/>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16</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12. Fair Value of Financial Instruments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Financial instruments measured at fair value on a recurring basis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tables present the Company's financial assets and liabilities that are measured at estimated fair value on a recurring basis as of March 31, 2025 and December 31, 2024:</w:t>
      </w:r>
    </w:p>
    <w:tbl>
      <w:tblPr>
        <w:tblW w:w="8739" w:type="dxa"/>
        <w:jc w:val="left"/>
        <w:tblInd w:w="0" w:type="dxa"/>
        <w:tblLayout w:type="fixed"/>
        <w:tblCellMar>
          <w:top w:w="28" w:type="dxa"/>
          <w:left w:w="28" w:type="dxa"/>
          <w:bottom w:w="28" w:type="dxa"/>
          <w:right w:w="28" w:type="dxa"/>
        </w:tblCellMar>
      </w:tblPr>
      <w:tblGrid>
        <w:gridCol w:w="1302"/>
        <w:gridCol w:w="1147"/>
        <w:gridCol w:w="1151"/>
        <w:gridCol w:w="245"/>
        <w:gridCol w:w="874"/>
        <w:gridCol w:w="126"/>
        <w:gridCol w:w="109"/>
        <w:gridCol w:w="109"/>
        <w:gridCol w:w="109"/>
        <w:gridCol w:w="211"/>
        <w:gridCol w:w="751"/>
        <w:gridCol w:w="109"/>
        <w:gridCol w:w="109"/>
        <w:gridCol w:w="109"/>
        <w:gridCol w:w="109"/>
        <w:gridCol w:w="211"/>
        <w:gridCol w:w="751"/>
        <w:gridCol w:w="109"/>
        <w:gridCol w:w="109"/>
        <w:gridCol w:w="109"/>
        <w:gridCol w:w="109"/>
        <w:gridCol w:w="211"/>
        <w:gridCol w:w="406"/>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Fair value measurements as of March 31, 2025</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Financial assets:</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equivalents: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Money market funds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19,927 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Available-for-sale marketable securities:</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treasury securities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agencies securities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31,618 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45,048 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64,975</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19,927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45,048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as of December 31, 2024</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Financial assets:</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equivalents: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Money market funds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13,144 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Available-for-sale marketable securities:</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treasury securities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27,237 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agencies securities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67,856 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81,000</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13,144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67,856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Liabilities:</w:t>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Contingent consideration</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Total</w:t>
            </w:r>
            <w:r>
              <w:rPr>
                <w:color w:val="000000"/>
              </w:rPr>
              <w:t xml:space="preserve">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Company's level 1 financial assets were valued using quoted prices in active markets for identical assets as of March 31, 2025. The Company’s level 2 financial assets were determined based on third-party inputs which are either directly or indirectly observable, such as reported trades and broker or dealer quotes. The Company's marketable securities have an amortized cost that approximates fair value as of March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13. Subsequent Events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April 29, 2025, Silvaco, Inc., a wholly-owned subsidiary of the Company, entered into a Stock Purchase Agreement (the “Stock Purchase Agreement”) with the shareholders of Tech-X Corporation (the “Sellers”) pursuant to which Silvaco, Inc. acquired all of the outstanding shares of Tech-X Corporation for an aggregate purchase price of $5.0 million, payable in cash and shares of the Company. The Stock Purchase Agreement also provides that the Sellers may receive up to $2.0 million in contingent consideration upon achieving certain research and development milestones.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and Kipee International entered into a new commercial lease agreement, effective as of May 1, 2025, for a three year period ending on April 30,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8430"/>
                <wp:effectExtent l="0" t="0" r="0" b="0"/>
                <wp:wrapNone/>
                <wp:docPr id="19" name="Frame19"/>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17</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Cautionary Statements Regarding Forward-Looking Information</w:t>
      </w:r>
    </w:p>
    <w:p>
      <w:pPr>
        <w:pStyle w:val="TextBody"/>
        <w:bidi w:val="0"/>
        <w:spacing w:lineRule="auto" w:line="288" w:before="0" w:after="190"/>
        <w:jc w:val="both"/>
        <w:rPr>
          <w:rFonts w:ascii="Arial;sans-serif" w:hAnsi="Arial;sans-serif"/>
          <w:b w:val="false"/>
          <w:i/>
          <w:color w:val="000000"/>
          <w:sz w:val="19"/>
        </w:rPr>
      </w:pPr>
      <w:r>
        <w:rPr>
          <w:rFonts w:ascii="Arial;sans-serif" w:hAnsi="Arial;sans-serif"/>
          <w:b w:val="false"/>
          <w:i/>
          <w:color w:val="000000"/>
          <w:sz w:val="19"/>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2024 included in the 2024 Form 10-K. This Quarterly Report on Form 10-Q contains forward-looking statements that involve risks, uncertainties and assumptions set forth in our 2024 Form 10-K. Our actual results could differ materially from those discussed in or implied by these forward-looking statements. Factors that could cause or contribute to such differences include, but are not limited to, those discussed in this Quarterly Report on Form 10-Q titled “Risk Factors.” Forward-looking statements may be identified by words including, but not limited to, “may,” “will,” “could,” “would,” “can,” “should,” “anticipate,” “expect,” “intend,” “believe,” “estimate,” “project,” “continue,” “forecast,” "likely," "potential," "seek," or the negatives of such terms and similar expressions. The information included herein represents our estimates and assumptions as of the date of this filing. Unless required by law, we undertake no obligation to update publicly any forward-looking statements, or to update the reasons actual results could differ materially from those anticipated in these forward-looking statements, even if new information becomes available in the future.</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are a provider of technology computer aided design (“TCAD”) software, electronic data automation (“EDA”) software and semiconductor intellectual property (“SIP”). TCAD, EDA and SIP solutions enable semiconductor and photonics companies to increase productivity, accelerate their products’ time-to-market and reduce their development and manufacturing costs. We have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We provide SIP for system-on-a-chip (“SoC”) and integrated circuits (“ICs”), and SIP management tools to enable team collaborations on complex SoC designs. Our customers include semiconductor manufacturers, original equipment manufacturers (“OEMs”) and design teams who deploy our solutions in production flows across our target markets, including display, power devices, automotive, memory, high performance computing (“HPC”), internet of things (“IoT”) and 5G/6G mobile markets.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EDA offerings, including our solutions, enable companies to streamline their IC design workflows, develop complex IC designs in a cost-efficient manner, and maintain acceptable IC manufacturing yield, by providing interoperable tools that capture and simulate designs from concept to analysis. Our TCAD device and process simulation tools provide compatible data structures that can be used with our EDA modeling, analysis, simulation, verification and yield enhancement tools. Further, our EDA tools are used for designing SIP and IC designs that can be managed and validated by our SIP management tools.</w:t>
      </w:r>
    </w:p>
    <w:p>
      <w:pPr>
        <w:pStyle w:val="TextBody"/>
        <w:bidi w:val="0"/>
        <w:spacing w:lineRule="auto" w:line="288" w:before="0" w:after="190"/>
        <w:jc w:val="both"/>
        <w:rPr/>
      </w:pPr>
      <w:r>
        <w:rPr>
          <w:rFonts w:ascii="Arial;sans-serif" w:hAnsi="Arial;sans-serif"/>
          <w:b w:val="false"/>
          <w:color w:val="000000"/>
          <w:sz w:val="19"/>
        </w:rPr>
        <w:t>Our go-to-market strategy centers on selling software solutions and associated maintenance and services. Our software solutions accounted for 71% and 77% of our revenue for the three months ended March 31, 2025 and 2024, respectively. Associated maintenance and services revenue accounted for 29% and 23% of our revenue for the three months ended March 31, 2025 and 2024, respectively. For the three months ended March 31, 2025 and 2024, approximately 76% and 88% of our bookings came from existing customers, respectively, and the remainder came from new customers. See “</w:t>
      </w:r>
      <w:hyperlink w:anchor="ifc70d01b67da426aafda35b81608c524_101770">
        <w:r>
          <w:rPr>
            <w:rStyle w:val="InternetLink"/>
            <w:rFonts w:ascii="Arial;sans-serif" w:hAnsi="Arial;sans-serif"/>
            <w:b w:val="false"/>
            <w:color w:val="0000FF"/>
            <w:sz w:val="19"/>
            <w:u w:val="single"/>
          </w:rPr>
          <w:t>Key Operating Indicators and Non-GAAP Financial Measures—Bookings</w:t>
        </w:r>
      </w:hyperlink>
      <w:r>
        <w:rPr>
          <w:color w:val="000000"/>
        </w:rPr>
        <w:t xml:space="preserve">” </w:t>
      </w:r>
      <w:r>
        <w:rPr>
          <w:rFonts w:ascii="Arial;sans-serif" w:hAnsi="Arial;sans-serif"/>
          <w:b w:val="false"/>
          <w:color w:val="000000"/>
          <w:sz w:val="19"/>
        </w:rPr>
        <w:t>for a description of how we define bookings.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Similar to trends observed across the semiconductor industry, we saw a decline in orders from Asia during the three months ended March 31, 2025 primarily driven by economic challenges and the ongoing strain in U.S.-China trade relations. During the three months ended March 31, 2025, our bookings were $13.7 million as compared to $16.1 million for the three months ended March 31, 2024. Our revenue was $14.1 million for the three months ended March 31, 2025, as compared to $15.9 million for the three months ended March 31, 2024. </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Recent Acquisitions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March 4, 2025, we consummated an asset purchase agreement with Cadence Design Systems, Inc. (“Cadence”), pursuant to which, among other things, we agreed to acquire certain assets and assume certain liabilities comprising Cadence’s Process Proximity Compensation product line, an optical proximity correction (“OPC”) suite of tools, in exchange for $11.5 million in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April 29, 2025, we entered into a Stock Purchase Agreement (the “Stock Purchase Agreement”) with the shareholders of Tech-X Corporation (the “Sellers”) pursuant to which we acquired all of the outstanding shares of Tech-X Corporation for an aggregate purchase price of $5.0 million, payable in cash and shares of the Company. The Stock Purchase Agreement also provides that the Sellers may receive up to $2.0 million in contingent consideration upon achieving certain research and development milestones. </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Key Factors Affecting our Results of Operations and Future Performance</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Current Economic Conditions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Worldwide economic and political uncertainties and negative trends, including financial and credit market fluctuations, tariffs and increasing trade protectionism, interest rates, inflation and other impacts from the macroeconomic environment may continue to adversely affect our business operations and financial results. We continue to monitor the direct and indirect impacts of these circumstances, particularly with respect to the broader implications of the uncertainty about the future relationship between the U.S. and its trading partners, including with respect to the trade policies and agreements, treaties, government regulations and tariffs that could apply to trade between the U.S. and other nations. The imposition of tariffs and political tensions as a result of trade policies, including with respect to China in particular, and the impact of worsening macroeconomic conditions and political events on our business, results of operations and overall financial position, remain uncertain.</w:t>
      </w:r>
    </w:p>
    <w:p>
      <w:pPr>
        <w:pStyle w:val="TextBody"/>
        <w:bidi w:val="0"/>
        <w:spacing w:lineRule="auto" w:line="288" w:before="0" w:after="190"/>
        <w:jc w:val="both"/>
        <w:rPr/>
      </w:pPr>
      <w:r>
        <w:rPr>
          <w:rFonts w:ascii="Arial;sans-serif" w:hAnsi="Arial;sans-serif"/>
          <w:b w:val="false"/>
          <w:color w:val="000000"/>
          <w:sz w:val="19"/>
        </w:rPr>
        <w:t xml:space="preserve">We believe that the growth of our business and our future success are dependent upon many factors including those described above and elsewhere in this quarterly report and those described below. While the factors set forth below present significant opportunities for us, these factors also pose challenges that we must successfully address to sustain the growth of our business and enhance our results of operations. The growth of our business and our future success are also subject to uncertainties and risks as described in Part II, Item 1.A., </w:t>
      </w:r>
      <w:r>
        <w:rPr>
          <w:rFonts w:ascii="Arial;sans-serif" w:hAnsi="Arial;sans-serif"/>
          <w:b w:val="false"/>
          <w:i/>
          <w:color w:val="000000"/>
          <w:sz w:val="19"/>
        </w:rPr>
        <w:t>Risk Factors</w:t>
      </w:r>
      <w:r>
        <w:rPr>
          <w:color w:val="000000"/>
        </w:rPr>
        <w:t xml:space="preserve"> </w:t>
      </w:r>
      <w:r>
        <w:rPr>
          <w:rFonts w:ascii="Arial;sans-serif" w:hAnsi="Arial;sans-serif"/>
          <w:b w:val="false"/>
          <w:color w:val="000000"/>
          <w:sz w:val="19"/>
        </w:rPr>
        <w:t>of this Quarterly Report on Form 10-Q.</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Relationships with Our Existing Customers </w:t>
      </w:r>
    </w:p>
    <w:p>
      <w:pPr>
        <w:pStyle w:val="TextBody"/>
        <w:bidi w:val="0"/>
        <w:spacing w:lineRule="auto" w:line="288" w:before="0" w:after="190"/>
        <w:jc w:val="both"/>
        <w:rPr/>
      </w:pPr>
      <w:r>
        <w:rPr>
          <w:rFonts w:ascii="Arial;sans-serif" w:hAnsi="Arial;sans-serif"/>
          <w:b w:val="false"/>
          <w:color w:val="000000"/>
          <w:sz w:val="19"/>
          <w:shd w:fill="FFFFFF" w:val="clear"/>
        </w:rPr>
        <w:t xml:space="preserve">Building long-term relationships with our existing customer base is critical in driving renewals for our licenses and overall revenue growth. </w:t>
      </w:r>
      <w:r>
        <w:rPr>
          <w:rFonts w:ascii="Arial;sans-serif" w:hAnsi="Arial;sans-serif"/>
          <w:b w:val="false"/>
          <w:color w:val="000000"/>
          <w:sz w:val="19"/>
        </w:rPr>
        <w:t xml:space="preserve">We have a global sales force selling to semiconductor companies and engineering universities that also instruct fabrication facility managers and the next generation of chip designers on the use and benefits of our design tools. Most of our customers enter into multi-year software license agreements for a fixed price including a multi-year software license and maintenance and services.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When we renew expiring contracts with our customers, we may increase our bookings by selling them additional or new software or SIP. Over time, we expect that existing customers will choose to upgrade and/or purchase additional products, particularly as we de-emphasize our lower margin products, which we expect will over the long term drive margin expansion. Our ability to continue to generate sales from our existing customers and to expand those relationships is dependent on our ability to continue to offer software solutions that our existing customers demand. Any failure to continue to generate sales with our existing customers or expand our product and service offerings with our existing customers may have an adverse effect on our revenue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enter into standard software licensing agreements with each of our customers. Pursuant to these agreements, we grant our customers a non-exclusive, non-transferable limited license, without the right to sublicense, to execute, use and operate certain software. Each party has the right to terminate the software license agreement under certain circumstances, in which event the customer will be required to remove, delete and return all software, related documentation and confidential information furnished under the license agreement.</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Our Ability to Expand Our Product Offerings</w:t>
      </w:r>
    </w:p>
    <w:p>
      <w:pPr>
        <w:pStyle w:val="TextBody"/>
        <w:bidi w:val="0"/>
        <w:spacing w:lineRule="auto" w:line="288" w:before="0" w:after="190"/>
        <w:jc w:val="both"/>
        <w:rPr/>
      </w:pPr>
      <w:r>
        <w:rPr>
          <w:rFonts w:ascii="Arial;sans-serif" w:hAnsi="Arial;sans-serif"/>
          <w:b w:val="false"/>
          <w:color w:val="000000"/>
          <w:sz w:val="19"/>
        </w:rPr>
        <w:t>To meet the increasing complexity of semiconductor designs, the introduction of new advanced materials, and the increased costs associated with more advanced semiconductor technology nodes, we will need to continually enhance our product offerings through our own in-house research and development efforts, acquisitions, or strategic partnerships with third parties. The in-house development of new product offerings or enhancements to our existing product offerings requires significant research and development activities and time and may or may not result in offerings we can successfully market and sell to customers. For example, we have developed an artificial intelligence (“AI”), -based solution named fab technology co-optimization or FTCO</w:t>
      </w:r>
      <w:r>
        <w:rPr>
          <w:rFonts w:ascii="Arial;sans-serif" w:hAnsi="Arial;sans-serif"/>
          <w:b w:val="false"/>
          <w:color w:val="000000"/>
          <w:sz w:val="12"/>
        </w:rPr>
        <w:t>TM</w:t>
      </w:r>
      <w:r>
        <w:rPr>
          <w:color w:val="000000"/>
        </w:rPr>
        <w:t xml:space="preserve"> </w:t>
      </w:r>
      <w:r>
        <w:rPr>
          <w:rFonts w:ascii="Arial;sans-serif" w:hAnsi="Arial;sans-serif"/>
          <w:b w:val="false"/>
          <w:color w:val="000000"/>
          <w:sz w:val="19"/>
        </w:rPr>
        <w:t>for wafer level fabrication facilities. FTCO utilizes manufacturing data to perform statistical and physics-based machine learning software simulations to create a computer model of a wafer, which we call the “digital twin” of the wafer, in order to simulate the fabrication of wafers. We may also seek to acquire companies or assets for products or solutions which we believe are complementary to our existing products or solutions. Additionally, we currently, and have in the past, and may in the future, partner with third parties to expand our product offerings to our customers. If in the future, we enter into additional licensing agreements with other third parties and are unable to extend the term of those licensing arrangements, we will experience an associated decline in revenue relating to those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Our Ability to Expand into New Markets and Applications and Expansion of our Existing Markets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believe that trends in the global EDA software market, including growth in the integrated circuits and electronics manufacturing markets, growing complexity of semiconductor and photonics designs, and increasing challenges associated with advanced materials and shrinking process technology nodes across the EDA market, will increase the demand for our software solutions over time, which will have a direct impact on our future revenues and results of operations. In response to this increase in complexity and new challenges facing designers, we have increased investments in our research and development for new software product offerings. For example, our research and development expense was 34% and 23% of revenue for the three months ended March 31, 2025 and 2024, respectively. We plan to continue to invest in our software solutions to establish and expand a leadership position in our target markets. We also plan to use our research and development efforts to continue to cater to strategic customer needs.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drive to increase performance and diversification of applications is further accelerated by a broad-scale transition to cloud-based software applications and computing on mobile platforms. The development of semiconductors that are optimized for specific applications, including AI, 5G/6G communications and IoT, has continued to fuel demand for TCAD and EDA software tools, which in turn fuels demand to develop solutions to meet our markets’ evolving needs. Our ability to successfully generate customer demand amongst new customers and in new markets is dependent on our ability to educate these customers and markets about our software solutions and our ability to generate sufficient new solutions that solve problems for these potential customers. Our ability to continue to expand our product offerings into new markets also requires that we direct our research and development efforts toward value-generating new and existing initiatives. Our future revenues and results of operations will be directly impacted by our ability to produce and provide new software solutions in new and expanding markets.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Our Ability to Successfully Identify, Complete and Integrate Acquisitions </w:t>
      </w:r>
    </w:p>
    <w:p>
      <w:pPr>
        <w:pStyle w:val="TextBody"/>
        <w:bidi w:val="0"/>
        <w:spacing w:lineRule="auto" w:line="288" w:before="0" w:after="190"/>
        <w:jc w:val="both"/>
        <w:rPr/>
      </w:pPr>
      <w:r>
        <w:rPr>
          <w:rFonts w:ascii="Arial;sans-serif" w:hAnsi="Arial;sans-serif"/>
          <w:b w:val="false"/>
          <w:color w:val="000000"/>
          <w:sz w:val="19"/>
          <w:shd w:fill="FFFFFF" w:val="clear"/>
        </w:rPr>
        <w:t xml:space="preserve">Our success depends in part on our ability to identify, complete and integrate acquisitions. Our goal for future potential acquisitions is to pursue acquisitions that will increase our competitiveness in our markets and increase our bookings and revenue. Our ability to successfully identify, complete and integrate acquisitions will depend on a number of factors, including access to adequate capital, potential competition for the assets, and technology fit. </w:t>
      </w:r>
      <w:r>
        <w:rPr>
          <w:rFonts w:ascii="Arial;sans-serif" w:hAnsi="Arial;sans-serif"/>
          <w:b w:val="false"/>
          <w:color w:val="000000"/>
          <w:sz w:val="19"/>
        </w:rPr>
        <w:t>When we engage in mergers and acquisitions, we aim to retain the customers of our acquired companies due to our expanded offerings or improved services. As a result, acquiring target companies is a key part of our growth strategy and may allow us to access and serve a broader range of customers, which ultimately may lead to more bookings, increased revenue growth and expansion in our market share presence.</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Our Ability to Calibrate Our Product Mix to Enhance Margin Expansion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anticipate that our results will be impacted by the increase or decrease of a given product or service as a percentage of total revenue relative to our other products and services. As higher margin products become a larger part of our product mix, or conversely as low margin products become a smaller part of our product mix, our gross margin will expand. While we may enter into agreements with third parties for lower margin product solutions, we anticipate our focus on higher margin solutions will continue to lead our other products and services within our product mix, which we anticipate may lead to gross margin and operating margin expansion. Our future ability to shape our product mix with higher margin products making up a larger percentage of our total revenue will impact our results of operations.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Our Ability to Scale While Mitigating Increases in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If we can execute on our growth strategy and grow our revenue through a combination of new customer growth, upgrades and increased usage of our products by existing customers, as well as accretive acquisitions, our results will be impacted by our ability to reduce the rate at which our expenses increase in proportion with a rise in revenue. We believe this is possible in a number of expense line items, which may provide for additional gross margin and operating margin expansion. For example, we anticipate as our existing customers choose to upgrade to newer software solutions, our costs related to the support of legacy software decreases, outpacing any increases in cost related to supporting the upgraded software. Additionally, we have incurred increased general and administrative expenses in connection with preparing to become a public company, including increased staff costs and professional services fees, including legal and accounting fees. We have also incurred a significant increase in stock-based compensation expense. While we anticipate the increased level of costs to remain, we do not anticipate those costs scaling proportionally with our revenue. Finally, we may be able to gain sales efficiencies as our revenue grows, such that our sales and marketing expenses will decrease as a percentage of revenue. In the aggregate, our ability to keep these expenses from growing proportionally with our revenue may provide for meaningful gross margin and operating margin expansion.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Components of Results of Operations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is derived from software licensing and maintenance and services. Our customer agreements include combinations of licensed software and maintenance and services, which are accounted for as separate performance obligations with differing revenue recognition patterns. </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Software License Revenue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Revenue from our software licenses is classified as software license revenue. Software license revenue is recognized upfront upon delivery of the licensed product. We also offer licenses of our standard SIP developed in house, and we offer licenses developed in partnership with NXP Semiconductors Netherlands B.V. (“NXP”) (the “NXP IP”). Our SIP licenses provide customers with access to SoC design SIP which meet established industry standards, thus saving customers the time and resources required to develop similar design methodologies. Our standard SIPs are generally ready to use upon delivery, meaning no customization is required for our customers to obtain value from the use of our SIP in their IC designs. We recognize revenue associated with licenses of our SIP at the commencement of the contract upon delivery of the licensed SIP. With respect to the NXP IP, we generally act as a principal to the transaction because we have a license to sell, and therefore control the NXP IP that we deliver to the customer. Consistent with our role as the principal, we recognize SIP revenue of the NXP IP on a gross basis. Any royalty fees based upon unit sales, revenue or flat fees which were paid to NXP were reported in cost of revenue upon delivery pursuant to the terms and conditions of our contractual obligations with the customers.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Under certain SIP license agreements, we can also derive revenue through royalties from customers who agree to pay usage-based fees to embed our SIP into their own software offerings. Revenue under SIP royalty agreements is generally recognized during the period in which the customer sells its solutions which incorporate our SIP.</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 xml:space="preserve">Maintenance and Service Revenue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Typically, our software solutions are sold with post-contract support (“PCS”), which includes unspecified technical enhancements and customer support. PCS is classified as maintenance and service revenue and is recognized ratably over the term of the contract, as we satisfy the PCS performance obligation over time.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also recognized an immaterial portion of our revenue from device characterization and modeling services for the three months ended March 31, 2025 and 2024. Revenue is recognized upon the completion of the requested services and, as applicable, satisfaction of customer acceptance terms. Revenue from these services is classified as maintenance and service revenue.</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Cost of Revenue and Gross Profit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Cost of revenue consists of personnel costs comprised of salaries and benefits for employees directly involved in our customer support function, such as customer support engineering salary and benefits, costs of our other customer services, allocation of overhead and facility costs, amortization of acquired intangible assets, and royalties related to the recognized revenue. We recognized $0.2 million of stock-based compensation expense in cost of revenue during the three months ended March 31, 2025. We also recognized $0.2 million of amortization associated with our acquired intangible assets in cost of revenue during the three months ended March 31, 2025. Gross profit represents revenue less cost of revenue.</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operating expenses consist of research and development, selling and marketing, general and administrative expenses, and estimated litigation claim. Related personnel costs are the most significant component of our operating expenses and consist of salaries, benefits, stock-based compensation expense, bonuses and commissions. Our operating expenses also include consulting costs, costs of facilities, information technology, depreciation and amortization. We expect our operating expenses to fluctuate as a percentage of revenue over time. During the three months ended March 31, 2025, we recognized $2.1 million in total stock-based compensation expense. Of the total stock-based compensation expense recorded, we recognized approximately $1.5 million, $0.2 million, and $0.3 million in general and administrative expense, research and development expense, and selling and marketing expense, respectively, during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Research and Development</w:t>
      </w:r>
    </w:p>
    <w:p>
      <w:pPr>
        <w:pStyle w:val="TextBody"/>
        <w:bidi w:val="0"/>
        <w:spacing w:lineRule="auto" w:line="288" w:before="0" w:after="190"/>
        <w:jc w:val="both"/>
        <w:rPr/>
      </w:pPr>
      <w:r>
        <w:rPr>
          <w:rFonts w:ascii="Arial;sans-serif" w:hAnsi="Arial;sans-serif"/>
          <w:b w:val="false"/>
          <w:color w:val="000000"/>
          <w:sz w:val="19"/>
          <w:shd w:fill="FFFFFF" w:val="clear"/>
        </w:rPr>
        <w:t xml:space="preserve">Our research and development expense consists primarily of </w:t>
      </w:r>
      <w:r>
        <w:rPr>
          <w:rFonts w:ascii="Arial;sans-serif" w:hAnsi="Arial;sans-serif"/>
          <w:b w:val="false"/>
          <w:color w:val="000000"/>
          <w:sz w:val="19"/>
        </w:rPr>
        <w:t xml:space="preserve">personnel costs </w:t>
      </w:r>
      <w:r>
        <w:rPr>
          <w:rFonts w:ascii="Arial;sans-serif" w:hAnsi="Arial;sans-serif"/>
          <w:b w:val="false"/>
          <w:color w:val="000000"/>
          <w:sz w:val="19"/>
          <w:shd w:fill="FFFFFF" w:val="clear"/>
        </w:rPr>
        <w:t>comprised of salaries, stock-based compensation expense, and benefits for employees directly involved in our research and development efforts</w:t>
      </w:r>
      <w:r>
        <w:rPr>
          <w:rFonts w:ascii="Arial;sans-serif" w:hAnsi="Arial;sans-serif"/>
          <w:b w:val="false"/>
          <w:color w:val="000000"/>
          <w:sz w:val="19"/>
        </w:rPr>
        <w:t>, as well as engineering, quality assessment, other related costs associated with the development of new products, enhancements to existing products, quality assurance and testing and allocated overhead costs. We expense research and development costs as incurred. We believe that continued investment in our software solutions and services is important for our future growth and acquisition of new customers and, as a result, we expect our research and</w:t>
      </w:r>
      <w:r>
        <w:rPr>
          <w:color w:val="000000"/>
          <w:shd w:fill="FFFFFF" w:val="clear"/>
        </w:rPr>
        <w:t xml:space="preserve"> </w:t>
      </w:r>
      <w:r>
        <w:rPr>
          <w:rFonts w:ascii="Arial;sans-serif" w:hAnsi="Arial;sans-serif"/>
          <w:b w:val="false"/>
          <w:color w:val="000000"/>
          <w:sz w:val="19"/>
          <w:shd w:fill="FFFFFF" w:val="clear"/>
        </w:rPr>
        <w:t xml:space="preserve">development expenses to continue to increase, although it may fluctuate as a percentage of revenue from period to period depending on the timing of these expenses. </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Selling and Marketing</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Selling and marketing expense consists of personnel costs comprised of salaries, stock-based compensation expense, benefits, sales commissions, travel costs, and field application engineering directly involved in our selling and marketing efforts, as well as professional and consulting fees, advertising expenses, and allocated overhead costs. We expect selling and marketing expense to continue to increase as we increase our sales and marketing personnel and grow our international operations, although it may fluctuate as a percentage of revenue from period to period depending on the timing of these expenses.</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General and Administrative</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General and administrative expense consists of personnel costs associated with our executive, legal, finance, human resources, information technology and other administrative functions, including salaries, stock-based compensation expense, benefits and bonuses. General and administrative expense also includes professional and consulting fees, accounting fees, legal costs, and allocated overhead costs. We expect general and administrative expense to increase as we expand our finance and administrative personnel, grow our operations, and incur additional expense associated with operating as a public company, including director and officer liability insurance and legal and compliance costs, although it may fluctuate as a percentage of revenue from period to period depending on the timing of these expenses.</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Estimated litigation claim</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Estimated litigation claim expense consists of legal costs that became probable and reasonably estimable associated with our obligations with respect to the earnout payment due to the selling shareholders of Nangate, Inc. (“Nangate”), along with a third cross complainant (collectively, the “Nangate Parties”). On July 23, 2024, a jury awarded the Nangate Parties $11.3 million in damages under breach of contract related claims, including breach of contract and breach of the covenant of good faith and fair dealing, and court and litigation related costs and certain expert expenses subject to the Nangate Parties establishing the legal right to them and to be determined by the court (the “Contract Damages”). As a result, during the year ended December 31, 2024, we recorded a charge to estimated litigation claim and accrued expenses and other current liabilities of $11.3 million for the Contract Damages awarded to the Nangate Parties. The jury also found Silvaco and our board of directors (the “Co-Defendants”) liable for certain of the fraudulent and negligent misrepresentation claims and awarded the Nangate Parties $6.6 million. Incremental punitive damages relating to these claims, including $17.0 million payable by Silvaco and a total of $16.0 million to be paid by the Co-Defendants, were awarded following a hearing on August 16, 2024 (collectively, the “Fraud Damages”). The Nangate Parties have the option to choose either the Contract Damages or the Fraud Damages, but in no circumstances will the Nangate Parties receive both remedies. </w:t>
      </w:r>
    </w:p>
    <w:p>
      <w:pPr>
        <w:pStyle w:val="TextBody"/>
        <w:bidi w:val="0"/>
        <w:spacing w:lineRule="auto" w:line="288" w:before="0" w:after="190"/>
        <w:jc w:val="both"/>
        <w:rPr/>
      </w:pPr>
      <w:r>
        <w:rPr>
          <w:rFonts w:ascii="Arial;sans-serif" w:hAnsi="Arial;sans-serif"/>
          <w:b w:val="false"/>
          <w:color w:val="000000"/>
          <w:sz w:val="19"/>
        </w:rPr>
        <w:t xml:space="preserve">The parties have reached preliminary agreement on key terms of a potential settlement, subject to negotiation and execution of a settlement agreement. In connection with the potential settlement, we recorded a charge to estimated litigation claim and accrued expenses and other current liabilities of $13.1 million for the three months ended March 31, 2025. We can give no assurance that a settlement will be finalized. If a settlement is not finalized, we and the Co-Defendants can appeal the judgement, which will require us to collateralize and post an appellate bond of up to $35.4 million. We believe we have strong grounds for appeal and are pursuing post-trial motions. Additionally, we believe that there are strong arguments in support of substantially reducing the punitive damages portion of the Fraud Damages, which we believe are excessive under California Law, and the United States and California constitutions, particularly given the disproportionate nature of the punitive damages relative to the compensatory damages. See </w:t>
      </w:r>
      <w:hyperlink w:anchor="ib25ceb08619c43f3b1eb8feeec269e0d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Interest income includes interest income earned on our cash and cash equivalents and marketable securities balances and accretion of the purchase discounts on our marketable securities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Interest and Other Expense, Net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Interest and other expense, net includes interest expense associated with cost of borrowings, leases or interest-bearing agreements, foreign exchange gains and losses and changes in the fair value of contingent consideration associated with legacy acquisitions.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Income Tax Provision </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Income tax provision is our estimate of current tax expense incurred from the consolidated results of operations globally.</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sets forth our results of operations for the three months ended March 31, 2025 and 2024:</w:t>
      </w:r>
    </w:p>
    <w:tbl>
      <w:tblPr>
        <w:tblW w:w="7951" w:type="dxa"/>
        <w:jc w:val="left"/>
        <w:tblInd w:w="0" w:type="dxa"/>
        <w:tblLayout w:type="fixed"/>
        <w:tblCellMar>
          <w:top w:w="28" w:type="dxa"/>
          <w:left w:w="28" w:type="dxa"/>
          <w:bottom w:w="28" w:type="dxa"/>
          <w:right w:w="28" w:type="dxa"/>
        </w:tblCellMar>
      </w:tblPr>
      <w:tblGrid>
        <w:gridCol w:w="1379"/>
        <w:gridCol w:w="1214"/>
        <w:gridCol w:w="1216"/>
        <w:gridCol w:w="211"/>
        <w:gridCol w:w="811"/>
        <w:gridCol w:w="109"/>
        <w:gridCol w:w="109"/>
        <w:gridCol w:w="109"/>
        <w:gridCol w:w="109"/>
        <w:gridCol w:w="211"/>
        <w:gridCol w:w="751"/>
        <w:gridCol w:w="109"/>
        <w:gridCol w:w="109"/>
        <w:gridCol w:w="109"/>
        <w:gridCol w:w="109"/>
        <w:gridCol w:w="351"/>
        <w:gridCol w:w="354"/>
        <w:gridCol w:w="581"/>
      </w:tblGrid>
      <w:tr>
        <w:trPr/>
        <w:tc>
          <w:tcPr>
            <w:tcW w:w="137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license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and service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Estimated litigation claim</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 income</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income before income tax provision</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summarizes our results of operations as a percentage of total revenue for the three months ended March 31, 2025 and 2024:</w:t>
      </w:r>
    </w:p>
    <w:tbl>
      <w:tblPr>
        <w:tblW w:w="6951" w:type="dxa"/>
        <w:jc w:val="left"/>
        <w:tblInd w:w="0" w:type="dxa"/>
        <w:tblLayout w:type="fixed"/>
        <w:tblCellMar>
          <w:top w:w="28" w:type="dxa"/>
          <w:left w:w="28" w:type="dxa"/>
          <w:bottom w:w="28" w:type="dxa"/>
          <w:right w:w="28" w:type="dxa"/>
        </w:tblCellMar>
      </w:tblPr>
      <w:tblGrid>
        <w:gridCol w:w="1379"/>
        <w:gridCol w:w="1214"/>
        <w:gridCol w:w="1216"/>
        <w:gridCol w:w="109"/>
        <w:gridCol w:w="109"/>
        <w:gridCol w:w="109"/>
        <w:gridCol w:w="296"/>
        <w:gridCol w:w="244"/>
        <w:gridCol w:w="544"/>
        <w:gridCol w:w="207"/>
        <w:gridCol w:w="207"/>
        <w:gridCol w:w="207"/>
        <w:gridCol w:w="264"/>
        <w:gridCol w:w="217"/>
        <w:gridCol w:w="629"/>
      </w:tblGrid>
      <w:tr>
        <w:trPr/>
        <w:tc>
          <w:tcPr>
            <w:tcW w:w="137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(as a percentage of total revenue)</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license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71 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77 </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and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29 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23 </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21 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79 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88 </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34 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23 </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33 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21 </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58 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29 </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Estimated litigation claim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93 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218 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73 </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(139)</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income before 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(135)</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14 </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(137)</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9 </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8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Comparison of the Three Months Ended March 31, 2025 and 2024</w:t>
      </w:r>
    </w:p>
    <w:p>
      <w:pPr>
        <w:pStyle w:val="TextBody"/>
        <w:bidi w:val="0"/>
        <w:spacing w:lineRule="auto" w:line="288" w:before="60" w:after="190"/>
        <w:jc w:val="left"/>
        <w:rPr>
          <w:rFonts w:ascii="Arial;sans-serif" w:hAnsi="Arial;sans-serif"/>
          <w:b/>
          <w:i/>
          <w:color w:val="000000"/>
          <w:sz w:val="20"/>
        </w:rPr>
      </w:pPr>
      <w:r>
        <w:rPr>
          <w:rFonts w:ascii="Arial;sans-serif" w:hAnsi="Arial;sans-serif"/>
          <w:b/>
          <w:i/>
          <w:color w:val="000000"/>
          <w:sz w:val="20"/>
        </w:rPr>
        <w:t>Revenue</w:t>
      </w:r>
    </w:p>
    <w:tbl>
      <w:tblPr>
        <w:tblW w:w="5119" w:type="dxa"/>
        <w:jc w:val="left"/>
        <w:tblInd w:w="0" w:type="dxa"/>
        <w:tblLayout w:type="fixed"/>
        <w:tblCellMar>
          <w:top w:w="28" w:type="dxa"/>
          <w:left w:w="28" w:type="dxa"/>
          <w:bottom w:w="28" w:type="dxa"/>
          <w:right w:w="28" w:type="dxa"/>
        </w:tblCellMar>
      </w:tblPr>
      <w:tblGrid>
        <w:gridCol w:w="836"/>
        <w:gridCol w:w="736"/>
        <w:gridCol w:w="738"/>
        <w:gridCol w:w="218"/>
        <w:gridCol w:w="775"/>
        <w:gridCol w:w="112"/>
        <w:gridCol w:w="112"/>
        <w:gridCol w:w="112"/>
        <w:gridCol w:w="112"/>
        <w:gridCol w:w="218"/>
        <w:gridCol w:w="775"/>
        <w:gridCol w:w="112"/>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w:t>
            </w:r>
          </w:p>
        </w:tc>
        <w:tc>
          <w:tcPr>
            <w:tcW w:w="2546"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Software license revenue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Maintenance and service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14,092</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15,889</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pPr>
      <w:r>
        <w:rPr>
          <w:rFonts w:ascii="Arial;sans-serif" w:hAnsi="Arial;sans-serif"/>
          <w:b w:val="false"/>
          <w:color w:val="000000"/>
          <w:sz w:val="19"/>
          <w:shd w:fill="FFFFFF" w:val="clear"/>
        </w:rPr>
        <w:t xml:space="preserve">Total revenue decreased by $1.8 million, or 11%, to $14.1 million for the three months ended </w:t>
      </w:r>
      <w:r>
        <w:rPr>
          <w:rFonts w:ascii="Arial;sans-serif" w:hAnsi="Arial;sans-serif"/>
          <w:b w:val="false"/>
          <w:color w:val="000000"/>
          <w:sz w:val="19"/>
        </w:rPr>
        <w:t>March 31, 2025</w:t>
      </w:r>
      <w:r>
        <w:rPr>
          <w:color w:val="000000"/>
          <w:shd w:fill="FFFFFF" w:val="clear"/>
        </w:rPr>
        <w:t xml:space="preserve"> </w:t>
      </w:r>
      <w:r>
        <w:rPr>
          <w:rFonts w:ascii="Arial;sans-serif" w:hAnsi="Arial;sans-serif"/>
          <w:b w:val="false"/>
          <w:color w:val="000000"/>
          <w:sz w:val="19"/>
          <w:shd w:fill="FFFFFF" w:val="clear"/>
        </w:rPr>
        <w:t xml:space="preserve">from $15.9 million for the three months ended </w:t>
      </w:r>
      <w:r>
        <w:rPr>
          <w:rFonts w:ascii="Arial;sans-serif" w:hAnsi="Arial;sans-serif"/>
          <w:b w:val="false"/>
          <w:color w:val="000000"/>
          <w:sz w:val="19"/>
        </w:rPr>
        <w:t>March 31, 2024</w:t>
      </w:r>
      <w:r>
        <w:rPr>
          <w:rFonts w:ascii="Arial;sans-serif" w:hAnsi="Arial;sans-serif"/>
          <w:b w:val="false"/>
          <w:color w:val="000000"/>
          <w:sz w:val="19"/>
          <w:shd w:fill="FFFFFF" w:val="clear"/>
        </w:rPr>
        <w:t xml:space="preserve">. </w:t>
      </w:r>
      <w:r>
        <w:rPr>
          <w:rFonts w:ascii="Arial;sans-serif" w:hAnsi="Arial;sans-serif"/>
          <w:b w:val="false"/>
          <w:color w:val="000000"/>
          <w:sz w:val="19"/>
        </w:rPr>
        <w:t xml:space="preserve">The decrease in total revenue for the </w:t>
      </w:r>
      <w:r>
        <w:rPr>
          <w:rFonts w:ascii="Arial;sans-serif" w:hAnsi="Arial;sans-serif"/>
          <w:b w:val="false"/>
          <w:color w:val="000000"/>
          <w:sz w:val="19"/>
          <w:shd w:fill="FFFFFF" w:val="clear"/>
        </w:rPr>
        <w:t xml:space="preserve">three months ended </w:t>
      </w:r>
      <w:r>
        <w:rPr>
          <w:rFonts w:ascii="Arial;sans-serif" w:hAnsi="Arial;sans-serif"/>
          <w:b w:val="false"/>
          <w:color w:val="000000"/>
          <w:sz w:val="19"/>
        </w:rPr>
        <w:t xml:space="preserve">March 31, 2025 is primarily due to softening demand in the Americas, economic challenges in Asia, and the ongoing strain in U.S.-China trade relations. Revenue associated with our TCAD tools decreased by $2.7 million. This decrease was partially offset by revenue derived from our EDA tools and IP sales which increased by $0.4 million and $0.5 million, respectively. </w:t>
      </w:r>
      <w:r>
        <w:rPr>
          <w:rFonts w:ascii="Arial;sans-serif" w:hAnsi="Arial;sans-serif"/>
          <w:b w:val="false"/>
          <w:color w:val="000000"/>
          <w:sz w:val="19"/>
          <w:shd w:fill="FFFFFF" w:val="clear"/>
        </w:rPr>
        <w:t xml:space="preserve">Software license revenue decreased by $2.2 million, or 18%, to $10.0 million for the three months ended </w:t>
      </w:r>
      <w:r>
        <w:rPr>
          <w:rFonts w:ascii="Arial;sans-serif" w:hAnsi="Arial;sans-serif"/>
          <w:b w:val="false"/>
          <w:color w:val="000000"/>
          <w:sz w:val="19"/>
        </w:rPr>
        <w:t>March 31, 2025</w:t>
      </w:r>
      <w:r>
        <w:rPr>
          <w:color w:val="000000"/>
          <w:shd w:fill="FFFFFF" w:val="clear"/>
        </w:rPr>
        <w:t xml:space="preserve"> </w:t>
      </w:r>
      <w:r>
        <w:rPr>
          <w:rFonts w:ascii="Arial;sans-serif" w:hAnsi="Arial;sans-serif"/>
          <w:b w:val="false"/>
          <w:color w:val="000000"/>
          <w:sz w:val="19"/>
          <w:shd w:fill="FFFFFF" w:val="clear"/>
        </w:rPr>
        <w:t xml:space="preserve">from $12.3 million for the three months ended </w:t>
      </w:r>
      <w:r>
        <w:rPr>
          <w:rFonts w:ascii="Arial;sans-serif" w:hAnsi="Arial;sans-serif"/>
          <w:b w:val="false"/>
          <w:color w:val="000000"/>
          <w:sz w:val="19"/>
        </w:rPr>
        <w:t>March 31, 2024</w:t>
      </w:r>
      <w:r>
        <w:rPr>
          <w:rFonts w:ascii="Arial;sans-serif" w:hAnsi="Arial;sans-serif"/>
          <w:b w:val="false"/>
          <w:color w:val="000000"/>
          <w:sz w:val="19"/>
          <w:shd w:fill="FFFFFF" w:val="clear"/>
        </w:rPr>
        <w:t xml:space="preserve">. Maintenance and service revenue increased by $0.5 million, or </w:t>
      </w:r>
      <w:r>
        <w:rPr>
          <w:rFonts w:ascii="Arial;sans-serif" w:hAnsi="Arial;sans-serif"/>
          <w:b w:val="false"/>
          <w:color w:val="000000"/>
          <w:sz w:val="19"/>
        </w:rPr>
        <w:t>12%,</w:t>
      </w:r>
      <w:r>
        <w:rPr>
          <w:color w:val="000000"/>
          <w:shd w:fill="FFFFFF" w:val="clear"/>
        </w:rPr>
        <w:t xml:space="preserve"> </w:t>
      </w:r>
      <w:r>
        <w:rPr>
          <w:rFonts w:ascii="Arial;sans-serif" w:hAnsi="Arial;sans-serif"/>
          <w:b w:val="false"/>
          <w:color w:val="000000"/>
          <w:sz w:val="19"/>
          <w:shd w:fill="FFFFFF" w:val="clear"/>
        </w:rPr>
        <w:t xml:space="preserve">to $4.1 million for the three months ended </w:t>
      </w:r>
      <w:r>
        <w:rPr>
          <w:rFonts w:ascii="Arial;sans-serif" w:hAnsi="Arial;sans-serif"/>
          <w:b w:val="false"/>
          <w:color w:val="000000"/>
          <w:sz w:val="19"/>
        </w:rPr>
        <w:t>March 31, 2025</w:t>
      </w:r>
      <w:r>
        <w:rPr>
          <w:color w:val="000000"/>
          <w:shd w:fill="FFFFFF" w:val="clear"/>
        </w:rPr>
        <w:t xml:space="preserve"> </w:t>
      </w:r>
      <w:r>
        <w:rPr>
          <w:rFonts w:ascii="Arial;sans-serif" w:hAnsi="Arial;sans-serif"/>
          <w:b w:val="false"/>
          <w:color w:val="000000"/>
          <w:sz w:val="19"/>
          <w:shd w:fill="FFFFFF" w:val="clear"/>
        </w:rPr>
        <w:t xml:space="preserve">from $3.6 million for the three months ended </w:t>
      </w:r>
      <w:r>
        <w:rPr>
          <w:rFonts w:ascii="Arial;sans-serif" w:hAnsi="Arial;sans-serif"/>
          <w:b w:val="false"/>
          <w:color w:val="000000"/>
          <w:sz w:val="19"/>
        </w:rPr>
        <w:t>March 31, 2024</w:t>
      </w:r>
      <w:r>
        <w:rPr>
          <w:rFonts w:ascii="Arial;sans-serif" w:hAnsi="Arial;sans-serif"/>
          <w:b w:val="false"/>
          <w:color w:val="000000"/>
          <w:sz w:val="19"/>
          <w:shd w:fill="FFFFFF" w:val="clear"/>
        </w:rPr>
        <w:t>.</w:t>
      </w:r>
    </w:p>
    <w:p>
      <w:pPr>
        <w:pStyle w:val="TextBody"/>
        <w:bidi w:val="0"/>
        <w:spacing w:before="0" w:after="1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Gross Profit</w:t>
      </w:r>
    </w:p>
    <w:p>
      <w:pPr>
        <w:pStyle w:val="TextBody"/>
        <w:bidi w:val="0"/>
        <w:spacing w:lineRule="auto" w:line="288" w:before="0" w:after="190"/>
        <w:jc w:val="both"/>
        <w:rPr/>
      </w:pPr>
      <w:r>
        <w:rPr>
          <w:rFonts w:ascii="Arial;sans-serif" w:hAnsi="Arial;sans-serif"/>
          <w:b w:val="false"/>
          <w:color w:val="000000"/>
          <w:sz w:val="19"/>
          <w:shd w:fill="FFFFFF" w:val="clear"/>
        </w:rPr>
        <w:t xml:space="preserve">Gross profit decreased by $2.8 million, or 20%, to $11.1 million for the three months ended </w:t>
      </w:r>
      <w:r>
        <w:rPr>
          <w:rFonts w:ascii="Arial;sans-serif" w:hAnsi="Arial;sans-serif"/>
          <w:b w:val="false"/>
          <w:color w:val="000000"/>
          <w:sz w:val="19"/>
        </w:rPr>
        <w:t>March 31, 2025</w:t>
      </w:r>
      <w:r>
        <w:rPr>
          <w:color w:val="000000"/>
          <w:shd w:fill="FFFFFF" w:val="clear"/>
        </w:rPr>
        <w:t xml:space="preserve"> </w:t>
      </w:r>
      <w:r>
        <w:rPr>
          <w:rFonts w:ascii="Arial;sans-serif" w:hAnsi="Arial;sans-serif"/>
          <w:b w:val="false"/>
          <w:color w:val="000000"/>
          <w:sz w:val="19"/>
          <w:shd w:fill="FFFFFF" w:val="clear"/>
        </w:rPr>
        <w:t xml:space="preserve">from $13.9 million for the three months ended </w:t>
      </w:r>
      <w:r>
        <w:rPr>
          <w:rFonts w:ascii="Arial;sans-serif" w:hAnsi="Arial;sans-serif"/>
          <w:b w:val="false"/>
          <w:color w:val="000000"/>
          <w:sz w:val="19"/>
        </w:rPr>
        <w:t>March 31, 2024, primarily due to a decline in orders from Asia and the Americas</w:t>
      </w:r>
      <w:r>
        <w:rPr>
          <w:rFonts w:ascii="Arial;sans-serif" w:hAnsi="Arial;sans-serif"/>
          <w:b w:val="false"/>
          <w:color w:val="000000"/>
          <w:sz w:val="19"/>
          <w:shd w:fill="FFFFFF" w:val="clear"/>
        </w:rPr>
        <w:t xml:space="preserve">. Gross profit margin decreased to 79% for the three months ended </w:t>
      </w:r>
      <w:r>
        <w:rPr>
          <w:rFonts w:ascii="Arial;sans-serif" w:hAnsi="Arial;sans-serif"/>
          <w:b w:val="false"/>
          <w:color w:val="000000"/>
          <w:sz w:val="19"/>
        </w:rPr>
        <w:t>March 31, 2025</w:t>
      </w:r>
      <w:r>
        <w:rPr>
          <w:color w:val="000000"/>
          <w:shd w:fill="FFFFFF" w:val="clear"/>
        </w:rPr>
        <w:t xml:space="preserve"> </w:t>
      </w:r>
      <w:r>
        <w:rPr>
          <w:rFonts w:ascii="Arial;sans-serif" w:hAnsi="Arial;sans-serif"/>
          <w:b w:val="false"/>
          <w:color w:val="000000"/>
          <w:sz w:val="19"/>
          <w:shd w:fill="FFFFFF" w:val="clear"/>
        </w:rPr>
        <w:t xml:space="preserve">from 88% for the three months ended </w:t>
      </w:r>
      <w:r>
        <w:rPr>
          <w:rFonts w:ascii="Arial;sans-serif" w:hAnsi="Arial;sans-serif"/>
          <w:b w:val="false"/>
          <w:color w:val="000000"/>
          <w:sz w:val="19"/>
        </w:rPr>
        <w:t xml:space="preserve">March 31, 2024. The decrease was also attributable to </w:t>
      </w:r>
      <w:r>
        <w:rPr>
          <w:rFonts w:ascii="Arial;sans-serif" w:hAnsi="Arial;sans-serif"/>
          <w:b w:val="false"/>
          <w:color w:val="000000"/>
          <w:sz w:val="19"/>
          <w:shd w:fill="FFFFFF" w:val="clear"/>
        </w:rPr>
        <w:t>$0.3 million of non-cash amortization associated with our acquired intangible assets, $0.2 million of</w:t>
      </w:r>
      <w:r>
        <w:rPr>
          <w:color w:val="000000"/>
        </w:rPr>
        <w:t xml:space="preserve"> </w:t>
      </w:r>
      <w:r>
        <w:rPr>
          <w:rFonts w:ascii="Arial;sans-serif" w:hAnsi="Arial;sans-serif"/>
          <w:b w:val="false"/>
          <w:color w:val="000000"/>
          <w:sz w:val="19"/>
        </w:rPr>
        <w:t xml:space="preserve">stock-based compensation expense, </w:t>
      </w:r>
      <w:r>
        <w:rPr>
          <w:rFonts w:ascii="Arial;sans-serif" w:hAnsi="Arial;sans-serif"/>
          <w:b w:val="false"/>
          <w:color w:val="000000"/>
          <w:sz w:val="19"/>
          <w:shd w:fill="FFFFFF" w:val="clear"/>
        </w:rPr>
        <w:t>and an increase in our allocation of labor time and effort dedicated to cost of sales</w:t>
      </w:r>
      <w:r>
        <w:rPr>
          <w:rFonts w:ascii="Arial;sans-serif" w:hAnsi="Arial;sans-serif"/>
          <w:b w:val="false"/>
          <w:color w:val="000000"/>
          <w:sz w:val="19"/>
        </w:rPr>
        <w:t>.</w:t>
      </w:r>
    </w:p>
    <w:p>
      <w:pPr>
        <w:pStyle w:val="TextBody"/>
        <w:bidi w:val="0"/>
        <w:spacing w:lineRule="auto" w:line="288" w:before="60" w:after="80"/>
        <w:jc w:val="both"/>
        <w:rPr>
          <w:rFonts w:ascii="Arial;sans-serif" w:hAnsi="Arial;sans-serif"/>
          <w:b/>
          <w:i/>
          <w:color w:val="000000"/>
          <w:sz w:val="20"/>
        </w:rPr>
      </w:pPr>
      <w:r>
        <w:rPr>
          <w:rFonts w:ascii="Arial;sans-serif" w:hAnsi="Arial;sans-serif"/>
          <w:b/>
          <w:i/>
          <w:color w:val="000000"/>
          <w:sz w:val="20"/>
        </w:rPr>
        <w:t>Operating Expenses</w:t>
      </w:r>
    </w:p>
    <w:tbl>
      <w:tblPr>
        <w:tblW w:w="5110" w:type="dxa"/>
        <w:jc w:val="left"/>
        <w:tblInd w:w="0" w:type="dxa"/>
        <w:tblLayout w:type="fixed"/>
        <w:tblCellMar>
          <w:top w:w="28" w:type="dxa"/>
          <w:left w:w="28" w:type="dxa"/>
          <w:bottom w:w="28" w:type="dxa"/>
          <w:right w:w="28" w:type="dxa"/>
        </w:tblCellMar>
      </w:tblPr>
      <w:tblGrid>
        <w:gridCol w:w="912"/>
        <w:gridCol w:w="802"/>
        <w:gridCol w:w="805"/>
        <w:gridCol w:w="217"/>
        <w:gridCol w:w="775"/>
        <w:gridCol w:w="112"/>
        <w:gridCol w:w="112"/>
        <w:gridCol w:w="112"/>
        <w:gridCol w:w="112"/>
        <w:gridCol w:w="217"/>
        <w:gridCol w:w="775"/>
        <w:gridCol w:w="159"/>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Operating expenses</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Selling and marketing</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3,312 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4,600 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Estimated litigation claim</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9"/>
              </w:rPr>
              <w:t>Total operating expenses</w:t>
            </w:r>
            <w:r>
              <w:rPr>
                <w:color w:val="000000"/>
              </w:rPr>
              <w:t xml:space="preserve">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30,708</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11,528</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Research and development expenses were $4.8 million and $3.6 million for the three months ended March 31, 2025 and 2024, respectively. The increase of $1.2 million, or 33%, was primarily due to a $0.6 million increase in employee compensation and benefits due to increased headcount, merit increases, and payroll tax, a $0.3 million increase in software maintenance expense and $0.2 million of stock-based compensation expense recorded during the three months ended March 31, 2025.</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Selling and Marketing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Selling and marketing expenses were $4.7 million and $3.3 million for the three months ended March 31, 2025 and 2024, respectively. The increase of $1.4 million, or 42%, was primarily due to a $1.1 million increase in employee compensation and benefits due to increased headcount, merit increases, and payroll tax, and $0.3 million of stock-based compensation expense recorded during the three months ended March 31, 2025. </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General and administrative expenses were $8.1 million and $4.6 million for the three months ended March 31, 2025 and 2024, respectively. The increase of $3.5 million, or 77%, was primarily due to $1.5 million of stock-based compensation expense, a $0.7 million increase in acquisition-related legal fees, a $0.7 million increase in employee compensation and benefits due to increased headcount, merit increases, and payroll tax, a $0.4 million increase in professional consulting fees, and a $0.2 million increase in corporate insurance recorded during the three months ended March 31, 2025. </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 xml:space="preserve">Estimated Litigation Claim </w:t>
      </w:r>
    </w:p>
    <w:p>
      <w:pPr>
        <w:pStyle w:val="TextBody"/>
        <w:bidi w:val="0"/>
        <w:spacing w:lineRule="auto" w:line="288" w:before="0" w:after="190"/>
        <w:jc w:val="both"/>
        <w:rPr/>
      </w:pPr>
      <w:r>
        <w:rPr>
          <w:rFonts w:ascii="Arial;sans-serif" w:hAnsi="Arial;sans-serif"/>
          <w:b w:val="false"/>
          <w:color w:val="000000"/>
          <w:sz w:val="19"/>
        </w:rPr>
        <w:t xml:space="preserve">Estimated litigation claim was $13.1 million for the three months ended March 31, 2025. In connection with a potential settlement, we recorded a charge to estimated litigation claim and accrued expenses and other current liabilities of $13.1 million for the three months ended March 31, 2025. See </w:t>
      </w:r>
      <w:hyperlink w:anchor="ib25ceb08619c43f3b1eb8feeec269e0d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60" w:after="80"/>
        <w:jc w:val="both"/>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Interest income reflects interest earned and accretion on our cash and cash equivalents and marketable securities.</w:t>
      </w:r>
    </w:p>
    <w:p>
      <w:pPr>
        <w:pStyle w:val="TextBody"/>
        <w:bidi w:val="0"/>
        <w:spacing w:lineRule="auto" w:line="288" w:before="60" w:after="80"/>
        <w:jc w:val="both"/>
        <w:rPr>
          <w:rFonts w:ascii="Arial;sans-serif" w:hAnsi="Arial;sans-serif"/>
          <w:b/>
          <w:i/>
          <w:color w:val="000000"/>
          <w:sz w:val="20"/>
        </w:rPr>
      </w:pPr>
      <w:r>
        <w:rPr>
          <w:rFonts w:ascii="Arial;sans-serif" w:hAnsi="Arial;sans-serif"/>
          <w:b/>
          <w:i/>
          <w:color w:val="000000"/>
          <w:sz w:val="20"/>
        </w:rPr>
        <w:t>Interest and Other Expense, Net</w:t>
      </w:r>
    </w:p>
    <w:p>
      <w:pPr>
        <w:pStyle w:val="TextBody"/>
        <w:bidi w:val="0"/>
        <w:spacing w:lineRule="auto" w:line="288" w:before="0" w:after="190"/>
        <w:jc w:val="both"/>
        <w:rPr/>
      </w:pPr>
      <w:r>
        <w:rPr>
          <w:rFonts w:ascii="Arial;sans-serif" w:hAnsi="Arial;sans-serif"/>
          <w:b w:val="false"/>
          <w:color w:val="000000"/>
          <w:sz w:val="19"/>
          <w:shd w:fill="FFFFFF" w:val="clear"/>
        </w:rPr>
        <w:t xml:space="preserve">Interest and other expense, net, was </w:t>
      </w:r>
      <w:r>
        <w:rPr>
          <w:rFonts w:ascii="Arial;sans-serif" w:hAnsi="Arial;sans-serif"/>
          <w:b w:val="false"/>
          <w:color w:val="000000"/>
          <w:sz w:val="19"/>
        </w:rPr>
        <w:t>$0.3 million</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$0.2 million</w:t>
      </w:r>
      <w:r>
        <w:rPr>
          <w:color w:val="000000"/>
          <w:shd w:fill="FFFFFF" w:val="clear"/>
        </w:rPr>
        <w:t xml:space="preserve"> </w:t>
      </w:r>
      <w:r>
        <w:rPr>
          <w:rFonts w:ascii="Arial;sans-serif" w:hAnsi="Arial;sans-serif"/>
          <w:b w:val="false"/>
          <w:color w:val="000000"/>
          <w:sz w:val="19"/>
          <w:shd w:fill="FFFFFF" w:val="clear"/>
        </w:rPr>
        <w:t xml:space="preserve">for the three months ended </w:t>
      </w:r>
      <w:r>
        <w:rPr>
          <w:rFonts w:ascii="Arial;sans-serif" w:hAnsi="Arial;sans-serif"/>
          <w:b w:val="false"/>
          <w:color w:val="000000"/>
          <w:sz w:val="19"/>
        </w:rPr>
        <w:t>March 31, 2025</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2024</w:t>
      </w:r>
      <w:r>
        <w:rPr>
          <w:rFonts w:ascii="Arial;sans-serif" w:hAnsi="Arial;sans-serif"/>
          <w:b w:val="false"/>
          <w:color w:val="000000"/>
          <w:sz w:val="19"/>
          <w:shd w:fill="FFFFFF" w:val="clear"/>
        </w:rPr>
        <w:t>, respectively.</w:t>
      </w:r>
      <w:r>
        <w:rPr>
          <w:color w:val="000000"/>
        </w:rPr>
        <w:t xml:space="preserve"> </w:t>
      </w:r>
      <w:r>
        <w:rPr>
          <w:rFonts w:ascii="Arial;sans-serif" w:hAnsi="Arial;sans-serif"/>
          <w:b w:val="false"/>
          <w:color w:val="000000"/>
          <w:sz w:val="19"/>
        </w:rPr>
        <w:t>The increase of $0.1 million was primarily due to a $0.1 million increase in foreign exchange losses recorded during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both"/>
        <w:rPr>
          <w:rFonts w:ascii="Arial;sans-serif" w:hAnsi="Arial;sans-serif"/>
          <w:b/>
          <w:i/>
          <w:color w:val="000000"/>
          <w:sz w:val="20"/>
        </w:rPr>
      </w:pPr>
      <w:r>
        <w:rPr>
          <w:rFonts w:ascii="Arial;sans-serif" w:hAnsi="Arial;sans-serif"/>
          <w:b/>
          <w:i/>
          <w:color w:val="000000"/>
          <w:sz w:val="20"/>
        </w:rPr>
        <w:t>Income Tax Provision</w:t>
      </w:r>
    </w:p>
    <w:p>
      <w:pPr>
        <w:pStyle w:val="TextBody"/>
        <w:bidi w:val="0"/>
        <w:spacing w:lineRule="auto" w:line="288" w:before="0" w:after="190"/>
        <w:jc w:val="both"/>
        <w:rPr/>
      </w:pPr>
      <w:r>
        <w:rPr>
          <w:rFonts w:ascii="Arial;sans-serif" w:hAnsi="Arial;sans-serif"/>
          <w:b w:val="false"/>
          <w:color w:val="000000"/>
          <w:sz w:val="19"/>
        </w:rPr>
        <w:t xml:space="preserve">Income tax provision was $0.2 million and $0.8 million for the three months ended March 31, 2025 and 2024, respectively. See </w:t>
      </w:r>
      <w:hyperlink w:anchor="ib25ceb08619c43f3b1eb8feeec269e0d_58">
        <w:r>
          <w:rPr>
            <w:rStyle w:val="InternetLink"/>
            <w:rFonts w:ascii="Arial;sans-serif" w:hAnsi="Arial;sans-serif"/>
            <w:b w:val="false"/>
            <w:color w:val="000080"/>
            <w:sz w:val="19"/>
            <w:u w:val="single"/>
          </w:rPr>
          <w:t xml:space="preserve">Note </w:t>
        </w:r>
      </w:hyperlink>
      <w:hyperlink w:anchor="ib25ceb08619c43f3b1eb8feeec269e0d_58">
        <w:r>
          <w:rPr>
            <w:rStyle w:val="InternetLink"/>
            <w:rFonts w:ascii="Arial;sans-serif" w:hAnsi="Arial;sans-serif"/>
            <w:b w:val="false"/>
            <w:color w:val="000080"/>
            <w:sz w:val="19"/>
            <w:u w:val="single"/>
          </w:rPr>
          <w:t>9</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60" w:after="80"/>
        <w:jc w:val="left"/>
        <w:rPr>
          <w:rFonts w:ascii="Arial;sans-serif" w:hAnsi="Arial;sans-serif"/>
          <w:b/>
          <w:color w:val="000000"/>
          <w:sz w:val="20"/>
        </w:rPr>
      </w:pPr>
      <w:bookmarkStart w:id="0" w:name="ifc70d01b67da426aafda35b81608c524_101770"/>
      <w:bookmarkEnd w:id="0"/>
      <w:r>
        <w:rPr>
          <w:rFonts w:ascii="Arial;sans-serif" w:hAnsi="Arial;sans-serif"/>
          <w:b/>
          <w:color w:val="000000"/>
          <w:sz w:val="20"/>
        </w:rPr>
        <w:t>Key Operating Indicators and Non-GAAP Financial Measures</w:t>
      </w:r>
    </w:p>
    <w:p>
      <w:pPr>
        <w:pStyle w:val="TextBody"/>
        <w:bidi w:val="0"/>
        <w:spacing w:lineRule="auto" w:line="288" w:before="0" w:after="190"/>
        <w:jc w:val="both"/>
        <w:rPr/>
      </w:pPr>
      <w:r>
        <w:rPr>
          <w:rFonts w:ascii="Arial;sans-serif" w:hAnsi="Arial;sans-serif"/>
          <w:b w:val="false"/>
          <w:color w:val="000000"/>
          <w:sz w:val="19"/>
          <w:shd w:fill="FFFFFF" w:val="clear"/>
        </w:rPr>
        <w:t>We use the following</w:t>
      </w:r>
      <w:r>
        <w:rPr>
          <w:color w:val="000000"/>
        </w:rPr>
        <w:t xml:space="preserve"> </w:t>
      </w:r>
      <w:r>
        <w:rPr>
          <w:rFonts w:ascii="Arial;sans-serif" w:hAnsi="Arial;sans-serif"/>
          <w:b w:val="false"/>
          <w:color w:val="000000"/>
          <w:sz w:val="19"/>
          <w:shd w:fill="FFFFFF" w:val="clear"/>
        </w:rPr>
        <w:t>key performance indicators and non-GAAP financial measures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Bookings</w:t>
      </w:r>
    </w:p>
    <w:p>
      <w:pPr>
        <w:pStyle w:val="TextBody"/>
        <w:bidi w:val="0"/>
        <w:spacing w:lineRule="auto" w:line="288" w:before="0" w:after="190"/>
        <w:jc w:val="both"/>
        <w:rPr/>
      </w:pPr>
      <w:r>
        <w:rPr>
          <w:rFonts w:ascii="Arial;sans-serif" w:hAnsi="Arial;sans-serif"/>
          <w:b w:val="false"/>
          <w:color w:val="000000"/>
          <w:sz w:val="19"/>
        </w:rPr>
        <w:t>We define a booking as a signed contract and related purchase commitment from a customer, based on the value set forth in a purchase order. We believe bookings are a useful metric to measure the success of customer sales and provide an indication of trends in our operating results that are not necessarily reflected in our revenue, because our revenue recognition is based on the satisfaction of our customer obligations, and not of the successful execution of a booking at the time of sale. Reported bookings may be subject to adjustments and potential cancellations prior to the satisfaction of our customer obligations. For the three</w:t>
      </w:r>
      <w:r>
        <w:rPr>
          <w:color w:val="000000"/>
          <w:shd w:fill="FFFFFF" w:val="clear"/>
        </w:rPr>
        <w:t xml:space="preserve"> </w:t>
      </w:r>
      <w:r>
        <w:rPr>
          <w:rFonts w:ascii="Arial;sans-serif" w:hAnsi="Arial;sans-serif"/>
          <w:b w:val="false"/>
          <w:color w:val="000000"/>
          <w:sz w:val="19"/>
          <w:shd w:fill="FFFFFF" w:val="clear"/>
        </w:rPr>
        <w:t xml:space="preserve">months ended </w:t>
      </w:r>
      <w:r>
        <w:rPr>
          <w:rFonts w:ascii="Arial;sans-serif" w:hAnsi="Arial;sans-serif"/>
          <w:b w:val="false"/>
          <w:color w:val="000000"/>
          <w:sz w:val="19"/>
        </w:rPr>
        <w:t>March 31, 2025, we recorded $13.7 million in bookings as compared to $16.1 million in bookings for the three months ended March 31, 2024.</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sets forth our bookings for each of the three month periods during the trailing five quarters as of March 31, 2025.</w:t>
      </w:r>
    </w:p>
    <w:tbl>
      <w:tblPr>
        <w:tblW w:w="7861"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 31,</w:t>
              <w:br/>
              <w:t>2024</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Bookings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Non-GAAP Operating (Loss) Income and Non-GAAP Net (Loss) Income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report our financial results in accordance with GAAP. However, our management believes that non-GAAP operating (loss) income and non-GAAP net (loss) income provide investors with additional useful information in evaluating our performance. These financial measures are not required by or presented in accordance with GAAP. We believe, however, that these non-GAAP financial measures, when taken together with our financial results presented in accordance with GAAP, provide meaningful supplemental information regarding our operating performance and facilitate internal comparisons of our historical operating performance on a more consistent basis by excluding certain items that may not be indicative of our business, results of operations or outlook and provide a useful measure for period-to-period comparisons of our business performance.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define non-GAAP operating income as our GAAP operating (loss) income adjusted to exclude certain costs, including initial public offering (“IPO”) preparation costs, acquisition-related estimated litigation claim and legal costs, acquisition-related professional fees and retention bonus, stock-based compensation expense, and amortization of acquired intangible assets. We define non-GAAP net (loss) income as our GAAP net (loss) income adjusted to exclude certain costs, including IPO preparation costs, acquisition-related estimated litigation claim and legal costs, acquisition-related professional fees and retention bonus, stock-based compensation expense, amortization of acquired intangible assets, change in fair value of contingent consideration, foreign exchange (gain) loss, and the income tax effect on non-GAAP items. We monitor non-GAAP operating (loss) income and non-GAAP net (loss) income as non-GAAP financial measures to supplement the financial information we present in accordance with GAAP to provide investors with additional information regarding our financial results.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Certain items are excluded from our non-GAAP operating (loss) income and non-GAAP net (loss) income because these items are non-cash in nature or management believes they are not indicative of our core operating performance and render comparisons with prior periods and competitors less meaningful. We adjust GAAP operating (loss) income and net (loss) income for these items to arrive at non-GAAP operating (loss) income and non-GAAP net (loss) income because these amounts can vary substantially from company to company within our industry depending upon accounting methods and book values of assets, capital structure and the method by which the assets were acquired. By excluding items that may not be indicative of our recurring core operating results, we believe that non-GAAP operating (loss) income and non-GAAP net (loss) income provide meaningful supplemental information regarding our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reconciles operating (loss) income to non-GAAP operating (loss) income.</w:t>
      </w:r>
    </w:p>
    <w:tbl>
      <w:tblPr>
        <w:tblW w:w="8064" w:type="dxa"/>
        <w:jc w:val="left"/>
        <w:tblInd w:w="0" w:type="dxa"/>
        <w:tblLayout w:type="fixed"/>
        <w:tblCellMar>
          <w:top w:w="28" w:type="dxa"/>
          <w:left w:w="28" w:type="dxa"/>
          <w:bottom w:w="28" w:type="dxa"/>
          <w:right w:w="28" w:type="dxa"/>
        </w:tblCellMar>
      </w:tblPr>
      <w:tblGrid>
        <w:gridCol w:w="1982"/>
        <w:gridCol w:w="1744"/>
        <w:gridCol w:w="1748"/>
        <w:gridCol w:w="221"/>
        <w:gridCol w:w="852"/>
        <w:gridCol w:w="114"/>
        <w:gridCol w:w="114"/>
        <w:gridCol w:w="114"/>
        <w:gridCol w:w="114"/>
        <w:gridCol w:w="221"/>
        <w:gridCol w:w="679"/>
        <w:gridCol w:w="161"/>
      </w:tblGrid>
      <w:tr>
        <w:trPr/>
        <w:tc>
          <w:tcPr>
            <w:tcW w:w="1982"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Operating (loss) income </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(19,632)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Add:</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estimated litigation claim and legal costs</w:t>
            </w:r>
            <w:r>
              <w:rPr>
                <w:rFonts w:ascii="Arial;sans-serif" w:hAnsi="Arial;sans-serif"/>
                <w:b w:val="false"/>
                <w:color w:val="000000"/>
                <w:sz w:val="12"/>
              </w:rPr>
              <w:t>(1)</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professional fees and retention bonus</w:t>
            </w:r>
            <w:r>
              <w:rPr>
                <w:rFonts w:ascii="Arial;sans-serif" w:hAnsi="Arial;sans-serif"/>
                <w:b w:val="false"/>
                <w:color w:val="000000"/>
                <w:sz w:val="12"/>
              </w:rPr>
              <w:t>(2)</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Amortization of acquired intangible assets</w:t>
            </w:r>
            <w:r>
              <w:rPr>
                <w:rFonts w:ascii="Arial;sans-serif" w:hAnsi="Arial;sans-serif"/>
                <w:b w:val="false"/>
                <w:color w:val="000000"/>
                <w:sz w:val="12"/>
              </w:rPr>
              <w:t>(3)</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IPO preparation costs</w:t>
            </w:r>
            <w:r>
              <w:rPr>
                <w:rFonts w:ascii="Arial;sans-serif" w:hAnsi="Arial;sans-serif"/>
                <w:b w:val="false"/>
                <w:color w:val="000000"/>
                <w:sz w:val="12"/>
              </w:rPr>
              <w:t>(4)</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Non-GAAP operating (loss) income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(2,495)</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3,318 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reconciles net (loss) income to non-GAAP net (loss) income.</w:t>
      </w:r>
    </w:p>
    <w:tbl>
      <w:tblPr>
        <w:tblW w:w="8065" w:type="dxa"/>
        <w:jc w:val="left"/>
        <w:tblInd w:w="0" w:type="dxa"/>
        <w:tblLayout w:type="fixed"/>
        <w:tblCellMar>
          <w:top w:w="28" w:type="dxa"/>
          <w:left w:w="28" w:type="dxa"/>
          <w:bottom w:w="28" w:type="dxa"/>
          <w:right w:w="28" w:type="dxa"/>
        </w:tblCellMar>
      </w:tblPr>
      <w:tblGrid>
        <w:gridCol w:w="1978"/>
        <w:gridCol w:w="1744"/>
        <w:gridCol w:w="1753"/>
        <w:gridCol w:w="221"/>
        <w:gridCol w:w="852"/>
        <w:gridCol w:w="114"/>
        <w:gridCol w:w="114"/>
        <w:gridCol w:w="114"/>
        <w:gridCol w:w="114"/>
        <w:gridCol w:w="221"/>
        <w:gridCol w:w="679"/>
        <w:gridCol w:w="161"/>
      </w:tblGrid>
      <w:tr>
        <w:trPr/>
        <w:tc>
          <w:tcPr>
            <w:tcW w:w="197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Net (loss) income</w:t>
            </w:r>
            <w:r>
              <w:rPr>
                <w:color w:val="000000"/>
              </w:rPr>
              <w:t xml:space="preserve"> </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(19,273)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Add:</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estimated litigation claim and legal costs</w:t>
            </w:r>
            <w:r>
              <w:rPr>
                <w:rFonts w:ascii="Arial;sans-serif" w:hAnsi="Arial;sans-serif"/>
                <w:b w:val="false"/>
                <w:color w:val="000000"/>
                <w:sz w:val="12"/>
              </w:rPr>
              <w:t>(1)</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Acquisition-related professional fees and retention bonus</w:t>
            </w:r>
            <w:r>
              <w:rPr>
                <w:rFonts w:ascii="Arial;sans-serif" w:hAnsi="Arial;sans-serif"/>
                <w:b w:val="false"/>
                <w:color w:val="000000"/>
                <w:sz w:val="12"/>
              </w:rPr>
              <w:t>(2)</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Amortization of acquired intangible assets</w:t>
            </w:r>
            <w:r>
              <w:rPr>
                <w:rFonts w:ascii="Arial;sans-serif" w:hAnsi="Arial;sans-serif"/>
                <w:b w:val="false"/>
                <w:color w:val="000000"/>
                <w:sz w:val="12"/>
              </w:rPr>
              <w:t>(3)</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IPO preparation costs</w:t>
            </w:r>
            <w:r>
              <w:rPr>
                <w:rFonts w:ascii="Arial;sans-serif" w:hAnsi="Arial;sans-serif"/>
                <w:b w:val="false"/>
                <w:color w:val="000000"/>
                <w:sz w:val="12"/>
              </w:rPr>
              <w:t>(4)</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Change in fair value of contingent consideration</w:t>
            </w:r>
            <w:r>
              <w:rPr>
                <w:rFonts w:ascii="Arial;sans-serif" w:hAnsi="Arial;sans-serif"/>
                <w:b w:val="false"/>
                <w:color w:val="000000"/>
                <w:sz w:val="12"/>
              </w:rPr>
              <w:t>(5)</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 exchange loss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Income tax effect of non-GAAP adjustments</w:t>
            </w:r>
            <w:r>
              <w:rPr>
                <w:rFonts w:ascii="Arial;sans-serif" w:hAnsi="Arial;sans-serif"/>
                <w:b w:val="false"/>
                <w:color w:val="000000"/>
                <w:sz w:val="12"/>
              </w:rPr>
              <w:t>(6)</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Non-GAAP net (loss) income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(1,901)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2,397 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(1)Reflects litigation-related expenses incurred in connection with our acquisitions and the Nangate estimated litigation claim accrual.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(2)Reflects acquisition-related professional fees and retention bonuses related to acquisitions of the OPC business and other potential acquisitions.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(3)Reflects the amortization of intangible assets attributable to our acquisitions and the NXP IP.</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(4)Reflects one-time costs including third-party professional services fees and costs incurred in connection with, and in preparation for, the IPO. Such costs do not include those costs that were considered direct and incremental to the IPO and therefore capitalized as deferred transaction costs.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(5)Includes the change in fair value of contingent consideration recorded in connection with our acquisitions.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(6)Reflects the increase in income tax expenses due to non-GAAP adjustments.</w:t>
      </w:r>
    </w:p>
    <w:p>
      <w:pPr>
        <w:pStyle w:val="TextBody"/>
        <w:bidi w:val="0"/>
        <w:spacing w:before="0" w:after="0"/>
        <w:ind w:left="0" w:right="0" w:hanging="36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Since inception, we have financed operations primarily through proceeds received from payments from our customers, borrowings from Ms. Ngai-Pesic and other lenders, and the net proceeds from the sale of our common stock in the IPO. Our primary sources of liquidity are cash, cash equivalents and marketable securities including cash generated from operations. As of March 31, 2025, we had $29.5 million in cash and cash equivalents, of which $6.2 million was held by our foreign subsidiaries, and $45.0 million in short-term marketable securities.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December 2023, we entered into a loan facility with East West Bank (the “East West Bank Loan”) which provides for borrowings of up to $5.0 million bearing interest at a per annum rate equal to one half of one percent (0.5%) above the greater of (i) the prime rate as reported in The Wall Street Journal or (ii) four and one half percent (4.5%). We drew $4.3 million on the East West Bank Loan during the three months ended March 31, 2024. In May 2024, the East West Bank Loan was repaid in full and terminated.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April 11, 2024, we amended and restated our license agreement with NXP, pursuant to which we recorded an associated vendor financing obligation. The vendor financing obligation was $4.2 million as of March 31, 2025. We determined that the vendor financing obligation had an imputed interest rate of 9%, which is reflective of our borrowing rate with similar terms to that of the license agreement.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April 16, 2024, we entered into a note purchase agreement with Micron Technology, Inc. (“Micron”), a customer of the Company, pursuant to which we issued a senior subordinated convertible promissory note (the “Micron Note”) in the principal amount of $5.0 million. The Micron Note accrued interest at a rate of 8% per annum with principal and interest due upon maturity three years after the date of issuance. On May 13, 2024, the Micron Note was converted into 294,217 shares of our common stock in connection with the consummation of the IPO.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May 13, 2024, we sold 6,000,000 shares of common stock in the IPO at a price to the public of $19.00 per share. The gross proceeds from the IPO were $114.0 million, with $106.0 million funded to us after deducting underwriting discounts and commissions of $8.0 million.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believe our cash and cash equivalents and marketable securities balances, which include proceeds received in connection with the IPO and the $5.0 million received in connection with the Micron Note will be sufficient to meet our expected working capital needs, capital expenditures, financial commitments and other liquidity requirements associated with our existing operations for at least the next 12 months. We currently have no committed sources of capital. </w:t>
      </w:r>
    </w:p>
    <w:p>
      <w:pPr>
        <w:pStyle w:val="TextBody"/>
        <w:bidi w:val="0"/>
        <w:spacing w:lineRule="auto" w:line="288" w:before="0" w:after="190"/>
        <w:jc w:val="both"/>
        <w:rPr/>
      </w:pPr>
      <w:r>
        <w:rPr>
          <w:rFonts w:ascii="Arial;sans-serif" w:hAnsi="Arial;sans-serif"/>
          <w:b w:val="false"/>
          <w:color w:val="000000"/>
          <w:sz w:val="19"/>
        </w:rPr>
        <w:t xml:space="preserve">If our cash and cash equivalents and marketable securities including cash generated from operating activities are not sufficient to satisfy our liquidity requirements, we may be required to seek additional financing. If we raise additional funds by issuing equity securities or convertible debt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w:t>
      </w:r>
      <w:hyperlink w:anchor="ibf6e7bfb970a42ca9f15ccdf61a74923_559450">
        <w:r>
          <w:rPr>
            <w:rStyle w:val="InternetLink"/>
            <w:color w:val="0000FF"/>
            <w:u w:val="single"/>
          </w:rPr>
          <w:t>“</w:t>
        </w:r>
      </w:hyperlink>
      <w:hyperlink w:anchor="ibf6e7bfb970a42ca9f15ccdf61a74923_559450">
        <w:r>
          <w:rPr>
            <w:rStyle w:val="InternetLink"/>
            <w:rFonts w:ascii="Arial;sans-serif" w:hAnsi="Arial;sans-serif"/>
            <w:b w:val="false"/>
            <w:color w:val="0000FF"/>
            <w:sz w:val="19"/>
            <w:u w:val="single"/>
          </w:rPr>
          <w:t>Risk Factors—Risks Related to Our Business and Industry—Our ability to raise additional capital in the future may be limited and could prevent us from executing our growth strategy</w:t>
        </w:r>
      </w:hyperlink>
      <w:r>
        <w:rPr>
          <w:color w:val="000000"/>
        </w:rPr>
        <w:t xml:space="preserve">” </w:t>
      </w:r>
      <w:r>
        <w:rPr>
          <w:rFonts w:ascii="Arial;sans-serif" w:hAnsi="Arial;sans-serif"/>
          <w:b w:val="false"/>
          <w:color w:val="000000"/>
          <w:sz w:val="19"/>
        </w:rPr>
        <w:t>in Item 1A in Part II in this Quarterly Report on Form 10-Q for further discussion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of March 31, 2025, $4.1 million, or 13.9%, of our cash and cash equivalents was maintained with one financial institution, where our current deposits are in excess of federally insured limits. Past macroeconomic conditions have resulted in the actual or perceived financial distress of many financial institutions, including the 2023 failures of Silicon Valley Bank, Signature Bank and First Republic Bank and the UBS takeover of Credit Suisse. If the financial institutions with whom we do business were to become distressed or placed into receivership, we may be unable to access the cash we have on deposit with such institutions. If we are unable to access our cash as needed, our financial position and ability to operate our business could be adversely affected.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following table summarizes changes in our cash flows for the periods indicated. </w:t>
      </w:r>
    </w:p>
    <w:tbl>
      <w:tblPr>
        <w:tblW w:w="8469" w:type="dxa"/>
        <w:jc w:val="left"/>
        <w:tblInd w:w="0" w:type="dxa"/>
        <w:tblLayout w:type="fixed"/>
        <w:tblCellMar>
          <w:top w:w="28" w:type="dxa"/>
          <w:left w:w="28" w:type="dxa"/>
          <w:bottom w:w="28" w:type="dxa"/>
          <w:right w:w="28" w:type="dxa"/>
        </w:tblCellMar>
      </w:tblPr>
      <w:tblGrid>
        <w:gridCol w:w="2129"/>
        <w:gridCol w:w="1868"/>
        <w:gridCol w:w="1882"/>
        <w:gridCol w:w="225"/>
        <w:gridCol w:w="756"/>
        <w:gridCol w:w="116"/>
        <w:gridCol w:w="116"/>
        <w:gridCol w:w="116"/>
        <w:gridCol w:w="116"/>
        <w:gridCol w:w="225"/>
        <w:gridCol w:w="756"/>
        <w:gridCol w:w="164"/>
      </w:tblGrid>
      <w:tr>
        <w:trPr/>
        <w:tc>
          <w:tcPr>
            <w:tcW w:w="2129"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Cash provided by (used in):</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activities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(1,135)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(2,572)</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Investing activities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Financing activities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3,873 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Effect of exchange rate fluctuations on cash and cash equivalents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Net change in cash</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9,883</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1,318</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Operating Activities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Cash flows from operating activities may vary significantly from period to period depending on a variety of factors including the timing of our collections and payments. Our ongoing cash outflows from operating activities primarily relate to personnel related costs, payments for professional services, office leases and related facilities costs, and software supporting our company infrastructure, among others. Our primary source of cash inflows is collections of our accounts receivable. The timing of invoices to our customers and subsequent collection is based on agreements executed and payment terms that can vary by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Net cash used in operating activities for the three months ended March 31, 2025 was $1.1 million compared to $2.6 million of net cash used in operating activities for the three months ended March 31, 2024. The $1.5 million decrease in net cash used in operating activities was primarily due to a $6.9 million decrease in net working capital, primarily due to changes in contract assets and accounts receivable; partially offset by a $5.4 million decrease in net income, after excluding the non-cash effects of stock-based compensation expense, provision for credit losses, estimated litigation claim, change in fair value of contingent consideration, depreciation and amortization, and the accretion of discount on marketable securities.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Investing Activities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Net cash provided by investing activities for the three months ended March 31, 2025 was $11.4 million, as compared to $10,000 used in investing activities for the three months ended March 31, 2024. Cash provided by investing activities during the three months ended March 31, 2025, includes $23.0 million of maturities in marketable securities, partially offset by cash paid to acquire OPC of $11.5 million and $0.1 million in purchases of property and equipment. During the three months ended March 31, 2024, we used $10,000 of cash to purchase property and equipment.</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Financing Activities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Net cash used in financing activities for the three months ended March 31, 2025 was $0.5 million, as compared to net cash provided by financing activities of $3.9 million for the three months ended March 31, 2024. Net cash used during the three months ended March 31, 2025 includes payroll taxes related to shares withheld from employees of $0.3 million and payments on our vendor financing obligation of $0.2 million. Net cash provided by financing activities for the three months ended March 31, 2024 includes our $4.3 million drawdown on the East West Bank Loan, partially offset by the payment of $0.4 million of transaction costs incurred in connection with the IPO.</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Effects of Exchange Rate Fluctuations on Cash and Cash Equivalents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effects of exchange rate fluctuations on cash and cash equivalents were $0.1 million and $27,000 for the three months ended March 31, 2025 and 2024, respectively.</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0" w:after="190"/>
        <w:jc w:val="both"/>
        <w:rPr/>
      </w:pPr>
      <w:r>
        <w:rPr>
          <w:rFonts w:ascii="Arial;sans-serif" w:hAnsi="Arial;sans-serif"/>
          <w:b w:val="false"/>
          <w:color w:val="000000"/>
          <w:sz w:val="19"/>
        </w:rPr>
        <w:t xml:space="preserve">Our financial commitments for contractual obligations as of March 31, 2025, include our operating leases and our vendor financing obligation. Our operating leases include a current obligation of $0.6 million and a non-current obligation of $0.9 million. Our vendor financing obligation, as noted in </w:t>
      </w:r>
      <w:hyperlink w:anchor="ib25ceb08619c43f3b1eb8feeec269e0d_52">
        <w:r>
          <w:rPr>
            <w:rStyle w:val="InternetLink"/>
            <w:rFonts w:ascii="Arial;sans-serif" w:hAnsi="Arial;sans-serif"/>
            <w:b w:val="false"/>
            <w:color w:val="0000FF"/>
            <w:sz w:val="19"/>
            <w:u w:val="single"/>
          </w:rPr>
          <w:t>Note 7</w:t>
        </w:r>
      </w:hyperlink>
      <w:r>
        <w:rPr>
          <w:color w:val="000000"/>
        </w:rPr>
        <w:t xml:space="preserve"> </w:t>
      </w:r>
      <w:r>
        <w:rPr>
          <w:rFonts w:ascii="Arial;sans-serif" w:hAnsi="Arial;sans-serif"/>
          <w:b w:val="false"/>
          <w:color w:val="000000"/>
          <w:sz w:val="19"/>
        </w:rPr>
        <w:t xml:space="preserve">of our condensed consolidated financial statements, includes a current obligation of $1.2 million and a non-current obligation of $3.0 million.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Estimated Litigation Claim</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July 23, 2024, a jury awarded the Nangate Parties $11.3 million in damages under breach of contract related claims, including breach of contract and breach of the covenant of good faith and fair dealing, and court and litigation related costs and certain expert expenses subject to the Nangate Parties establishing the legal right to them and to be determined by the court (the “Contract Damages”). As a result, during the year ended December 31, 2024, we recorded a charge to estimated litigation claim and accrued expenses and other current liabilities of $11.3 million for the Contract Damages awarded to the Nangate Parties.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jury also found Silvaco and our board of directors (the “Co-Defendants”) liable for certain of the fraudulent and negligent misrepresentation claims and awarded the Nangate Parties $6.6 million. Incremental punitive damages relating to these claims, including $17.0 million payable by Silvaco and a total of $16.0 million to be paid by the Co-Defendants, were awarded following a hearing on August 16, 2024 (collectively, the “Fraud Damages”). The Nangate Parties have the option to choose either the Contract Damages or the Fraud Damages, but in no circumstances will the Nangate Parties receive both remedies. </w:t>
      </w:r>
    </w:p>
    <w:p>
      <w:pPr>
        <w:pStyle w:val="TextBody"/>
        <w:bidi w:val="0"/>
        <w:spacing w:lineRule="auto" w:line="288" w:before="0" w:after="190"/>
        <w:jc w:val="both"/>
        <w:rPr/>
      </w:pPr>
      <w:r>
        <w:rPr>
          <w:rFonts w:ascii="Arial;sans-serif" w:hAnsi="Arial;sans-serif"/>
          <w:b w:val="false"/>
          <w:color w:val="000000"/>
          <w:sz w:val="19"/>
        </w:rPr>
        <w:t xml:space="preserve">The parties have reached preliminary agreement on key terms of a potential settlement, subject to negotiation and execution of a settlement agreement. In connection with the potential settlement, we recorded a charge to estimated litigation claim and accrued expenses and other current liabilities of $13.1 million for the three months ended March 31, 2025. We can give no assurance that a settlement will be finalized. If a settlement is not finalized, we and the Co-Defendants can appeal the judgement, which will require us to collateralize and post an appellate bond of up to $35.4 million. We believe we have strong grounds for appeal and are pursuing post-trial motions. Additionally, we believe that there are strong arguments in support of substantially reducing the punitive damages portion of the Fraud Damages, which we believe are excessive under California Law, and the United States and California constitutions, particularly given the disproportionate nature of the punitive damages relative to the compensatory damages. See </w:t>
      </w:r>
      <w:hyperlink w:anchor="ib25ceb08619c43f3b1eb8feeec269e0d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Off-Balance Sheet Arrangements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March 31, 2025 and December 31, 2024, we did not have any off-balance sheet arrangements.</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Critical Accounting Policies and Significant Judgments and Estimates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There have not been any material changes during the three months ended March 31, 2025 to the methodology applied by management for critical accounting policies previously disclosed in our audited financial statements set forth in our 2024 Form 10-K. For further discussion of our critical accounting policies and estimates, please refer to “Management’s Discussion and Analysis of Financial Condition and Results of Operations—Critical Accounting Policies and Estimates”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3. QUALITATIVE AND QUANTITATIVE DISCLOSURES ABOUT MARKET RISK</w:t>
      </w:r>
    </w:p>
    <w:p>
      <w:pPr>
        <w:pStyle w:val="TextBody"/>
        <w:bidi w:val="0"/>
        <w:spacing w:lineRule="auto" w:line="288" w:before="80" w:after="40"/>
        <w:jc w:val="left"/>
        <w:rPr>
          <w:rFonts w:ascii="Arial;sans-serif" w:hAnsi="Arial;sans-serif"/>
          <w:b w:val="false"/>
          <w:color w:val="000000"/>
          <w:sz w:val="19"/>
        </w:rPr>
      </w:pPr>
      <w:r>
        <w:rPr>
          <w:rFonts w:ascii="Arial;sans-serif" w:hAnsi="Arial;sans-serif"/>
          <w:b w:val="false"/>
          <w:color w:val="000000"/>
          <w:sz w:val="19"/>
        </w:rPr>
        <w:t>We are a smaller reporting company as defined by Rule 12b-2 of the Securities Exchange Act of 1934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management, with the participation of our Chief Executive Officer in his capacity as both principal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concluded that, as of such date, our disclosure controls and procedures were effective.</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There were no changes in our ICFR identified in connection with the evaluation required by Rule 13a-15(f)or 15d-15(f) of the Exchange Act during the period covered by this Quarterly Report, that materially affected, or are reasonably likely to materially affect, our internal control over financial reporting.</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Inherent Limitations on Effectiveness of Controls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management, including our Chief Executive Officer in his capacity as both principal executive officer and principal financial officer, does not expect that our disclosure controls and procedures or our internal controls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190"/>
        <w:jc w:val="both"/>
        <w:rPr/>
      </w:pPr>
      <w:r>
        <w:rPr>
          <w:rFonts w:ascii="Arial;sans-serif" w:hAnsi="Arial;sans-serif"/>
          <w:b w:val="false"/>
          <w:color w:val="000000"/>
          <w:sz w:val="19"/>
        </w:rPr>
        <w:t xml:space="preserve">Information regarding our current legal proceedings can be found in </w:t>
      </w:r>
      <w:hyperlink w:anchor="ib25ceb08619c43f3b1eb8feeec269e0d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190"/>
        <w:jc w:val="both"/>
        <w:rPr>
          <w:rFonts w:ascii="Arial;sans-serif" w:hAnsi="Arial;sans-serif"/>
          <w:b w:val="false"/>
          <w:i/>
          <w:color w:val="000000"/>
          <w:sz w:val="19"/>
        </w:rPr>
      </w:pPr>
      <w:r>
        <w:rPr>
          <w:rFonts w:ascii="Arial;sans-serif" w:hAnsi="Arial;sans-serif"/>
          <w:b w:val="false"/>
          <w:i/>
          <w:color w:val="000000"/>
          <w:sz w:val="19"/>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unaudited condensed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common stock could decline, and you could lose part or all of your investment.</w:t>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Risk Factor Summary</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We face significant competition from larger companies as well as from third-party providers who may deploy their resources to develop IP solutions internally.</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Our operating results are subject to significant fluctuations and, as a result, period-to-period comparisons of our results of operations are not necessarily meaningful and should not be relied upon as indicators of future performance.</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Our interim results of operations may be difficult to predict as a result of seasonality.</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Substantial, prolonged economic downturns and softening demand in key industrial sectors and in major economic regions in which we operate, including China, have resulted and may continue to result in reduced software solutions sales and lower revenue growth.</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The success of our business depends on sustaining or growing our software license revenue and our maintenance and service revenue and the failure to increase such revenue would lead to a material decline in our results of operations.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We also depend on growth in the semiconductor and photonics industries and in the end markets that use our products. Any slowdown in the growth of these industries and end markets could harm our business.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If we are unable to deliver new and innovative software solutions or software license enhancements ahead of rapid technological changes in the market, our revenues could be materially adversely affected.</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We may have to invest more resources in research and development than anticipated, which could increase our operating expenses and negatively affect our operating results.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Our international sales and operations constitute a substantial portion of our revenue and business operations and could be negatively affected by disruptions in international geographies caused by government actions, trade disputes, direct or indirect acts of war or terrorism, international political or economic instability or other similar events.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A substantial portion of our revenue comes from our international sales channels, and we have significant operations in numerous international geographies. As such, any adverse fluctuations in exchange rates could adversely affect our performance.</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If we are unable to protect our proprietary technology and inventions through patents and other intellectual property rights, our ability to compete successfully and our financial results could be adversely impacted.</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Our success depends on the interoperability of our software solutions with our customers’ intended use cases and with products and services of other companies, including our competitors.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If our information technology systems, or those of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Adverse developments affecting the financial services industry could adversely affect our liquidity, financial condition and results of operations, either directly or through adverse impacts on certain of our vendors and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We may not realize the anticipated benefits of our acquisitions or investments, our business could be disrupted because of acquisitions or investments and, depending on how we finance such acquisitions, we could use significant amounts of cash.</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We may not be able to continue to obtain licenses to third-party software and intellectual property on reasonable terms or at all, which may disrupt our business and harm our financial results.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Any dispute regarding our intellectual property may require us to indemnify customers, the cost of which could harm our business.</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As long as we are a controlled company, your ability to influence matters requiring stockholder approval will be limited, and the interests of our controlling shareholder may conflict with or differ from your interests as a stockholder.</w:t>
      </w:r>
    </w:p>
    <w:p>
      <w:pPr>
        <w:pStyle w:val="TextBody"/>
        <w:bidi w:val="0"/>
        <w:spacing w:lineRule="auto" w:line="288" w:before="0" w:after="100"/>
        <w:ind w:left="0" w:right="0" w:hanging="360"/>
        <w:jc w:val="both"/>
        <w:rPr/>
      </w:pPr>
      <w:r>
        <w:rPr>
          <w:color w:val="000000"/>
        </w:rPr>
        <w:t>•</w:t>
      </w:r>
      <w:r>
        <w:rPr>
          <w:rFonts w:ascii="Arial;sans-serif" w:hAnsi="Arial;sans-serif"/>
          <w:b w:val="false"/>
          <w:color w:val="000000"/>
          <w:sz w:val="19"/>
        </w:rPr>
        <w:t>Pending or future investigations or litigation could have a material adverse effect on our results of operations and our stock price.</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We have experienced a material weakness in our internal control over financial reporting in the past. If we experience material weaknesses in the future or otherwise fail to maintain an effective system of internal controls in the future, we may not be able to report our financial condition or results of operations accurately or on a timely basis, prevent fraud or file our periodic reports in a timely manner and may incur additional costs to remediate, all of which may adversely affect investor confidence in us and our reported financial information and, as a result, the value of our common stock.</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Risks Related to Our Business and Industry</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face significant competition from larger companies as well as from third-party providers who may deploy their resources to develop IP solutions internally.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are engaged in a competitive segment of the global semiconductor and photonics industries. Our competitive landscape is characterized by competition from companies that have significantly greater resources than us. A variety of factors could adversely impact our ability to compete, including rapid technological change in our software solution design, customers that make purchase decisions based on a mix of factors of varying importance and continuous declines in average selling prices of our software solutions. We compete principally on the basis of technology, license quality and features, license terms, compatibility, reliability, interoperability among products and price and payment terms.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compete against larger companies including Synopsys, Inc., Ansys, Inc., Coventor, Inc., a Lam Research company, Cadence Design Systems, Inc., Siemens EDA, Arm Limited, and CEVA, Inc. Such companies have greater name recognition than us and possess substantial financial, technical, research and development and engineering resources that can be deployed so they can develop competing TCAD, EDA and SIP solutions. Varying combinations of these resources provide advantages to these competitors that enable them to influence industry trends and the pace at which industries adapt to these trends. A strong competitive response from one or more of our competitors to our marketplace efforts, or a shift in customer preferences to competitors’ products, could result in increased pressure to lower our prices more rapidly than anticipated, increased selling and marketing expense, and/or market share loss. The consolidation of our competitors or collaboration among our competitors to deliver more comprehensive offerings than they could prior to consolidation may also impact our ability to compete effectively. In addition, new market entrants with novel technology could change the competitive landscape, potentially resulting in reduced market share, additional pressure to lower prices, or further increases in selling and marketing expense. To the extent our revenue is negatively impacted by competitive pressures and reduced pricing, our business could be harmed.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addition, our ability to compete in our market is subject to a variety of factors, many of which are beyond our control. In particular, any of the below factors could significantly affect our ability to compete and could harm our business: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Our ability to anticipate and lead critical software solution development cycles and technological shifts as driven by our target markets, to innovate rapidly and efficiently and to improve our existing solutions;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Decisions by semiconductor companies and/or OEMs to develop IP internally, rather than license IP from outside vendors due to strategic changes, enhanced internal capability, budget constraints or excess engineering capacity;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Our ability to maintain and improve upon our current research and development collaboration agreements;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Whether any competitor substantially increases its engineering and marketing resources to compete with our software solutions;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The challenges of developing, or acquiring externally developed, technology solutions that are adequate and competitive in meeting the rapidly evolving requirements of next-generation design challenges;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Our ability to expand into established market segments;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Our ability to compete on the basis of payment terms;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The potential effects of geopolitical conflicts, such as the ongoing trade disputes between the United States and China and Russia’s invasion of Ukraine, including retaliatory and regulatory actions, on purchasing, development, sales and innovation responses and trends in response to such conflicts.</w:t>
      </w:r>
    </w:p>
    <w:p>
      <w:pPr>
        <w:pStyle w:val="TextBody"/>
        <w:bidi w:val="0"/>
        <w:spacing w:lineRule="auto" w:line="288" w:before="120" w:after="180"/>
        <w:jc w:val="both"/>
        <w:rPr>
          <w:rFonts w:ascii="Arial;sans-serif" w:hAnsi="Arial;sans-serif"/>
          <w:b w:val="false"/>
          <w:color w:val="000000"/>
          <w:sz w:val="19"/>
        </w:rPr>
      </w:pPr>
      <w:r>
        <w:rPr>
          <w:rFonts w:ascii="Arial;sans-serif" w:hAnsi="Arial;sans-serif"/>
          <w:b w:val="false"/>
          <w:color w:val="000000"/>
          <w:sz w:val="19"/>
        </w:rPr>
        <w:t xml:space="preserve">We may also be unable to reduce the cost of our software solutions sufficiently to enable us to compete with our competitors or other third-party providers who may deploy their resources to develop IP solutions internally. Our cost reduction efforts may not allow us to keep pace with competitive pricing pressures and could adversely affect our gross margins. To the extent we are unable to reduce the prices of our software solutions and remain competitive, our revenue will likely decline, resulting in further pressure on our gross margins, which could harm our business.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operating results are subject to significant fluctuations and, as a result, period-to-period comparisons of our results of operations are not necessarily meaningful and should not be relied upon as indicators of future performance.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majority of our software license revenue is treated as point in time revenue at the start of the license period, so past revenue may not be indicative of the amount of revenue in any future period. Significant portions of our anticipated future revenue, therefore, will likely depend upon our success in attracting new customers or continuing or expanding our relationships with existing customers. However, revenue recognized from licensing arrangements can vary significantly from period to period, depending largely on bookings recorded during a quarter as well as the timing of the receipt of purchase orders, and is difficult to predict. Revenue that we anticipate will be recognized in a given quarter may end up being recognized in subsequent quarters as a result of the timing of the booking, the specifics of the licensing arrangements or other factors. For example, in the third quarter of 2024, we expected to receive a significant purchase order of approximately $5.0 million but the purchase order was not received until the first week of the fourth quarter. As a result, we did not recognize any revenues from that purchase order in the third quarter of 2024. In addition, as we expand our business into new markets, our licensing contracts may be smaller in volume but greater in value, which may result in further fluctuations in our software license revenue quarter to quarter. Our ability to succeed in our licensing efforts will depend on a variety of factors, including the market positioning, performance, quality, breadth and depth of our current and future IP and solutions as well as our sales and marketing success. Our failure to obtain future licensing customers would impede our future revenue growth and could materially harm our business.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Additionally, fluctuations may be caused by many other factors, including the timing of new software license releases or enhancements by us or our competitors, the license mix and timing of bookings and TBL renewals, software bugs or defects or other software solution quality problems, competition and pricing changes, customer booking or renewal deferrals in anticipation of new software solutions or enhancements, changes in demand for our software solutions, changes in operating expenses, changes in the mix of software license and maintenance and service revenue, timing of our collection of cash, personnel changes and general economic conditions.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Further, we and our customers are affected by general business and economic conditions in the United States and globally. These conditions include short-term and long-term interest rates, inflation, money supply, political issues, legislative and regulatory changes, including the imposition of new tariffs affecting our or our customers’ products and services, fluctuations in both debt and equity capital markets and broad trends in industry and finance, all of which are beyond our control. There recently have been significant changes to U.S. trade policies, sanctions, legislation, treaties and tariffs, including, but not limited to, trade policies and tariffs affecting products outside of the U.S., and the current presidential administration has announced significant new tariffs on foreign imports into the U.S. The extent and duration of increased tariffs and the resulting impact on general economic conditions and on our business are uncertain and depend on various factors, such as negotiations between the U.S. and affected countries, the responses of other countries or regions, and exemptions or exclusions that may be granted. Adverse changes in general domestic and global economic conditions that may occur in the future, including any recession, economic slowdown or disruption of credit markets, may lead to lower demand for products that incorporate our solutions. Macroeconomic conditions that affect the economy and the economic outlook of the United States and the rest of the world, including inflation and changes in currency valuations, could adversely affect us, our customers and vendors, which could have a material adverse effect on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a result of these and other factors, you should not rely on the results of any prior interim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interim results of operations may be difficult to predict as a result of seasonality.</w:t>
      </w:r>
    </w:p>
    <w:p>
      <w:pPr>
        <w:pStyle w:val="TextBody"/>
        <w:bidi w:val="0"/>
        <w:spacing w:lineRule="auto" w:line="288" w:before="0" w:after="190"/>
        <w:jc w:val="both"/>
        <w:rPr/>
      </w:pPr>
      <w:r>
        <w:rPr>
          <w:rFonts w:ascii="Arial;sans-serif" w:hAnsi="Arial;sans-serif"/>
          <w:b w:val="false"/>
          <w:color w:val="000000"/>
          <w:sz w:val="19"/>
        </w:rPr>
        <w:t xml:space="preserve">Our results of operations have fluctuated significantly as a result of seasonality. </w:t>
      </w:r>
      <w:r>
        <w:rPr>
          <w:rFonts w:ascii="Arial;sans-serif" w:hAnsi="Arial;sans-serif"/>
          <w:b w:val="false"/>
          <w:color w:val="000000"/>
          <w:sz w:val="19"/>
          <w:shd w:fill="FFFFFF" w:val="clear"/>
        </w:rPr>
        <w:t xml:space="preserve">For example, new year celebrations in certain countries in Asia, summer holidays in Europe and the United States, and winter holidays globally have, in the past, resulted in a </w:t>
      </w:r>
      <w:r>
        <w:rPr>
          <w:rFonts w:ascii="Arial;sans-serif" w:hAnsi="Arial;sans-serif"/>
          <w:b w:val="false"/>
          <w:color w:val="000000"/>
          <w:sz w:val="19"/>
        </w:rPr>
        <w:t>slowdown in demand for our software solutions in affected locations</w:t>
      </w:r>
      <w:r>
        <w:rPr>
          <w:rFonts w:ascii="Arial;sans-serif" w:hAnsi="Arial;sans-serif"/>
          <w:b w:val="false"/>
          <w:color w:val="000000"/>
          <w:sz w:val="19"/>
          <w:shd w:fill="FFFFFF" w:val="clear"/>
        </w:rPr>
        <w:t xml:space="preserve">. The impact of this cyclicality on our business is evident in lower bookings, including software license renewals and revenue in the second and third quarters of certain years as compared to first and fourth quarters of that year. </w:t>
      </w:r>
      <w:r>
        <w:rPr>
          <w:rFonts w:ascii="Arial;sans-serif" w:hAnsi="Arial;sans-serif"/>
          <w:b w:val="false"/>
          <w:color w:val="000000"/>
          <w:sz w:val="19"/>
        </w:rPr>
        <w:t xml:space="preserve">The seasonality of our business is also affected by our customers’ </w:t>
      </w:r>
      <w:r>
        <w:rPr>
          <w:rFonts w:ascii="Arial;sans-serif" w:hAnsi="Arial;sans-serif"/>
          <w:b w:val="false"/>
          <w:color w:val="000000"/>
          <w:sz w:val="19"/>
          <w:shd w:fill="FFFFFF" w:val="clear"/>
        </w:rPr>
        <w:t xml:space="preserve">research and development cycles. For example, our bookings generally increase when our customers’ increase their research and development spend on their next generation products, which we traditionally see occur in the first quarter and last quarter of each year in part due to our customers’ budgetary cycles. </w:t>
      </w:r>
      <w:r>
        <w:rPr>
          <w:rFonts w:ascii="Arial;sans-serif" w:hAnsi="Arial;sans-serif"/>
          <w:b w:val="false"/>
          <w:color w:val="000000"/>
          <w:sz w:val="19"/>
        </w:rPr>
        <w:t>We may also be affected by additional seasonal trends in the future, particularly as our business continues to mature. Such seasonality may result from a number of factors, including a slowdown in our customers’ procurement process during certain times of the year, both domestically and internationally, and customers choosing to spend remaining budgets shortly before the end of their fiscal years. Seasonality has in the past caused, and may cause in the future, fluctuations in our results of operations and financial metrics, and make forecasting our future results of operations and financial metrics more difficult.</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Substantial, prolonged economic downturns in key industrial sectors and in major economic regions in which we operate, including China, may result in reduced software solution sales and lower revenue growth.</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sales are based significantly on end user demand for our software solutions in the display, power devices, automotive, memory, HPC, IoT, and 5G/6G mobile markets. Many of these markets periodically experience economic declines. These economic declines may be exacerbated by other economic factors, such as the recent increase in global energy prices, and more recently by economic uncertainties as a result of changes in trade policies and the imposition of new tariffs. These economic factors may adversely affect our business by extending sales cycles and reducing revenue.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customers supply semiconductor solutions to a wide spectrum of goods and services providers in all major economic regions. Our performance is materially impacted by general economic conditions and the performance of our customers. Our management team forecasts macroeconomic trends and developments and integrates them through long-range planning into budgets, research and development strategies and a wide variety of general management duties. To the extent that our forecasts are overly optimistic or overly pessimistic about the performance of an economy or sector, our performance may be hindered because of a failure to properly match corporate strategy with economic conditions.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Terrorist attacks, war and other increased global hostilities, including the ongoing conflicts between Russia and Ukraine and Israel and its adversaries, Hamas, Hezbollah and Iran, pandemics, including the COVID-19 pandemic, and natural disasters have, at times, contributed to widespread uncertainty and speculation in the semiconductor markets.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During the three months ended March 31, 2025 and 2024, 14% and 11% of our revenue was derived from our customers in China, respectively. China has experienced an economic slowdown, which, has adversely impacted our revenue derived from China-based operations and, if continued, could continue to have an adverse impact on our revenue derived from China-based operations in future periods. Further, geopolitical disruptions among the United States and China could result in the suspension or delay of purchases of our software solutions by our customers in China, which could inhibit our ability to secure similar levels of revenue in the future from such customers or otherwise. See “—We face risks associated with doing business in China.” Similar uncertainties and speculation may result in further economic contraction, resulting in the suspension or delay of purchases of our software solutions by our customers, which could harm our business, financial condition and results of operations.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The success of our business depends on sustaining or growing our software license revenue and our maintenance and service revenue and the failure to increase such revenue would lead to a material decline in our results of operations.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revenue consists of software license fees and other fees and royalties paid for access to our technologies and other maintenance and services we provide to our customers. Our success at continuing to derive revenue from existing customers requires that we continue to service their needs adequately and provide them with solutions that drive value for them. Our ability to secure and renew the software licenses from which our revenue is derived depends on our customers adopting our solutions and may require us to incur significant expenditures and dedicate engineering resources to the development or enhancement of our software licenses without assurance that our solutions will be licensed. If we incur such expenditures and fail to secure revenue from such customers, our results of operations may be adversely affected. If we fail to grow our software license revenue, we are likely to consequently fail to grow our maintenance and service revenue, which would further adversely affect our results of operation.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Further, because of the significant costs associated with qualifying new suppliers, customers are likely to use the same or an enhanced version of solution from existing suppliers across a number of similar and successor products for a lengthy period of time. As a result, if we fail to sell our solutions to any particular potential new customer, we may lose the opportunity to make future sales of those solutions to that potential customer for a significant period of time, or at all, and we may experience an associated decline in revenue relating to those products.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may not be able to maintain or expand sales to our significant customers for a variety of reasons, and our customers can stop incorporating or using our solutions, decline to renew their agreements or terminate their agreements, often with limited notice to us and often with little or no penalty. The loss of any significant customers, a reduction in sales to any significant customers, a significant delay or negative development in our customers’ product development plans, or our inability to attract new significant customers or secure new significant design wins, could negatively impact our business.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The cyclical nature of the semiconductor and photonics industries may limit our ability to maintain or improve our revenue.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semiconductor and photonics industries are highly cyclical and are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and thus demand for our software solutions. We have experienced downturns in the past and may experience such downturns in the future. For example, the industry experienced a significant downturn in connection with the most recent global recession in 2008, and further experienced a downturn in 2020, as a result of the COVID-19 pandemic.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These downturns have been characterized by diminished product demand, production overcapacity, high inventory levels and accelerated erosion of average selling prices. Recent downturns have directly impacted our business, as has been the case with many other companies, suppliers, distributors and customers in the semiconductor and photonics industries and other industries around the world, and any prolonged or significant future downturns in the semiconductor and photonics industries could harm our business.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depend on growth in the semiconductor and photonics industries and in the end markets that use our products. Any slowdown in the growth of these industries and end markets could harm our business.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growth of our TCAD, EDA and SIP markets are dependent on the semiconductor and photonics industries. A substantial portion of our business and revenue depends upon the commencement of new design projects by semiconductor manufacturers, systems companies and their customers. The increasing complexity of designs of or SoC, ICs, electronic systems and customers’ concerns about managing costs, have previously led to, and in the future could lead to, a decrease in design starts and design activity in general. For example, in response to this increasing complexity, some customers may choose to focus on one discrete phase of the design process or opt for less advanced, but less risky, manufacturing processes that may not require new or enhanced design solutions. Demand for our software solutions and services could decrease and our financial condition and results of operations could be adversely affected if growth in the semiconductor and photonics industries slows or stalls, including due to the impact of inflation or a sustained global supply chain disruption. Inflation has fluctuated in the last several years in the United States and globally, including significant increases as a result of global supply chain issues, increased government spending and monetary policy, a rise in energy prices, and strong consumer demand coming out of the COVID-19 pandemic. As we experienced, an inflationary environment can increase our cost of labor, energy and other operating costs and could also impact and reduce the number of customers who purchase our software solutions as credit becomes more expensive or unavailable.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Furthermore, many of our customers outsource the manufacturing of their semiconductor designs to foundries. Our customers also frequently incorporate third-party IP, whether provided by us or other vendors, into their designs to improve the efficiency of their design process. However, if we fail to optimize our EDA and SIP solutions for use with major foundries’ manufacturing processes or major IP providers’ products, or if our access to such foundry processes or third-party IP licenses is hampered, then our solutions may become less desirable to our customers, resulting in an adverse effect on our business and financial condition.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continued success will also depend in large part on general economic growth and growth within our target markets including the display, power devices, automotive, memory, HPC, IoT, and 5G/6G mobile markets. Factors affecting these markets could seriously harm our customers and/or end customers and, as a result, harm us, examples of which include: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Reduced sales of our customers’ and/or end customers’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The effects of catastrophic and other disruptive events at our customers’ and/or end customers’ offices or facilities;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Increased costs associated with potential disruptions to our customers’ and/or end customers’ supply chain and other manufacturing and production operations, including supply chain issues like those caused by the COVID-19 pandemic and similar disruptions that may occur in future;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The deterioration of our customers’ and/or end customers’ financial condition;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Delays and project cancellations as a result of design flaws in the products developed by our customers and/or end customers;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The inability of our customers and/or end customers to dedicate the resources necessary to promote and commercialize their products;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The inability of our customers and/or end customers to adapt to changing technological demands resulting in their products becoming obsolete;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 xml:space="preserve">The failure of our customers’ and/or end customers’ products to achieve market success and gain broad market acceptance.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Any slowdown in the growth of these end markets could harm our business.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If we are unable to deliver new and innovative software solutions or software license enhancements ahead of rapid technological changes in the market, our revenues could be materially adversely affected.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operate in an industry generally characterized by rapidly changing technology and frequent new product introductions that can render existing products obsolete or unmarketable. A major factor in our future success will be our ability to anticipate technological changes and to develop and introduce, in a timely manner, enhancements to our existing software solutions to meet those changes. If we are unable to introduce new software solutions and to respond quickly to industry changes, our business, financial condition, results of operations and cash flows could be materially adversely affected.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introduction and marketing of new or enhanced software solutions requires us to manage the transition from existing software licenses to minimize disruptions in customer purchasing patterns. There can be no assurance that we will be successful in developing and marketing, on a timely basis, new software solutions, or software license enhancements that our new software licenses will address the changing needs of the marketplace, or that we will successfully manage the transition from existing products. From time to time, we may agree to hold back certain of our software license enhancements for exclusive use of one or a small number of customers, which may limit our ability to timely adapt our broader software solutions range to meet technological innovation by our competitors or the needs of our other customers.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may have to invest more resources in research and development than anticipated, which could increase our operating expenses and negatively affect our operating results.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To contend with industry performance requirements and new applications, engineers, researchers, and other professionals rely extensively on TCAD and EDA software tools to design and optimize advanced IC components. Reliance on TCAD and EDA software tools has increased in recent years as design challenges have become increasingly complex, which influences our development cycle and consequently our performance and results of operations. Additionally, shrinking manufacturing process geometries, application specific customization to improve computing performance, and adoption of new materials for high voltage applications and photonics computing has led to a rapid increase in the complexity of SoCs. We currently devote substantial resources to the research and development of new and enhanced software solutions. However, we may be required to devote more resources than anticipated to address requirements for specific target markets, new competitors, technological advances in the semiconductor and photonics industries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increase in the foreseeable future as our technology development efforts continue, and there can be no guarantee that our research and development investments will result in software solutions that result in additional revenue.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may also decide to increase our research and development investment to seize customer or market opportunities, which could negatively impact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Consolidation among our customers and within the industries in which we operate may negatively impact our operating results.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 number of business combinations, including mergers, asset acquisitions and strategic partnerships, among our customers in the semiconductor and photonics industries have occurred over the last several years, and more could occur in the future. Consolidation among our customers could lead to fewer customers or the loss of customers, increased customer bargaining power or reduced customer spending on software and services. Consolidation among our customers could also reduce the demand for our software solutions and services if customers streamline research and development or operations, reduce purchases or delay purchasing decisions.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Reduced customer spending or the loss of a number of customers, particularly our large customers, could adversely affect our business, financial position and results of operations. In addition, we and our competitors from time to time acquire businesses and technologies to complement and expand our respective software solutions offerings. Consolidated competitors could have considerable financial resources, channel influence, and broad geographic reach, allowing them to engage in competition on the basis of software solution differentiation, pricing, marketing, services, support and more. If any of our competitors consolidate or acquire businesses and technologies that we do not offer, they may be able to offer a larger technology portfolio, additional support and service capability or lower prices, which could negatively impact our business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international sales and operations constitute a substantial portion of our revenue and business operations and could be negatively affected by disruptions in international geographies caused by government actions, trade disputes, direct or indirect acts of war or terrorism, international political or economic instability or other similar events.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 significant portion of our revenue comes from outside the United States. During the three months ended March 31, 2025 and 2024, 80% and 74%, respectively of our revenue was from international customers. Risks inherent in our international business activities include imposition of government controls, export license requirements, restrictions on the export of critical technology, products and services, political and economic instability, trade restrictions, changes in tariffs and taxes, difficulties in staffing and managing international operations, longer accounts receivable payment cycles and the burdens of complying with a wide variety of foreign laws and regulations. Effective patent, copyright and trade secret protection may not be available in every foreign country in which we sell our software solutions and services. Our business, financial condition, results of operations and cash flows could be materially adversely affected by any of these risks.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we have offices globally with our sales and research and development being conducted in offices located in numerous geographical locations. Moreover, conducting business outside the United States subjects us to a number of additional risks and challenges, including: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Changes in a specific country’s or region’s political, regulatory or economic conditions;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Our ability to maintain our offices and/or operations in countries or regions experiencing military, political or social instability;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A pandemic, epidemic or other outbreak of an infectious disease, such as COVID-19, which may cause us or our distributors, vendors and/or customers to temporarily or completely suspend our or their respective operations in the affected city or country;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Compliance with a wide variety of domestic and foreign laws and regulations (including those of municipalities or provinces where we have operations) and unexpected changes in those laws and regulatory requirements, including uncertainties regarding taxes, social insurance contributions and other payroll taxes and fees to governmental entities, tariffs, quotas, export controls, export licenses and other trade barriers;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Unanticipated restrictions on our ability to sell to foreign customers where sales of software solutions and the provision of services may require export licenses or are prohibited by government action, unfavorable foreign exchange controls and currency exchange rates;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Evolving impacts from tariffs, sanctions or other trade tensions between the United States and other countries, including implementation of new tariffs and retaliatory measures, including specifically U.S.-China trade tensions;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Potential for substantial penalties and litigation related to violations of a wide variety of laws, treaties and regulations, including labor regulations, export control, sanctions and anti-corruption regulations (including the U.S. Foreign Corrupt Practices Act of 1977, as amended, and the U.K. Bribery Act);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Difficulties and costs of staffing and managing international operations across different geographic areas, time zones and cultures;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Changes in diplomatic and trade relationships.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Potential political, legal and economic instability, armed conflict, and civil unrest in the countries in which we and our customers are located;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Difficulty and costs of maintaining effective data security;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Inadequate protection of our IP;</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Nationalization and expropriation;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Restrictions on the transfer of funds to and from foreign countries, including withholding taxes and other potentially negative tax consequences;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Unfavorable and/or changing foreign tax treaties and policies;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Increased exposure to general market and economic conditions outside of the United States; and </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Currency exchange rate fluctuations and the resulting effect on our revenue and expenses, and the cost and risk of entering into hedging transactions if we choose to do so in the future.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ability to increase our customer base and achieve broader market acceptance of our software solutions will depend to a significant extent on our ability to expand our international sales force. We plan to continue expanding our sales force, both domestically and internationally. We also plan to dedicate significant resources to our sales and marketing programs. All of these efforts will require us to invest significant financial and other resources. Our business will be harmed if our sales and marketing efforts do not generate significant increases in revenue or if the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 the occurrence of which could adversely affect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Additionally, countries in certain international regions in which we operate have continued to experience weaknesses in their currency, banking, and equity markets. These weaknesses could adversely affect customer demand for our software solutions and could have an adverse effect on our business, financial condition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face risks associated with doing business in China.</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face increased regulatory uncertainties with respect to our China-based operations, including our wholly foreign-owned enterprise operating in China, any joint ventures we may form or contribute IP or other resources to in the future and sales to China-based customers.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During the three months ended March 31, 2025 and 2024, 14% and 11% of our revenue, respectively, was derived from our customers in China. Our operating expenses in China were $0.9 million and $0.7 million, respectively, for the three months ended March 31, 2025 and 2024.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June 3, 2021, President Biden issued Executive Order 14032 (Addressing the Threat from Securities Investments that Finance Certain Companies of the People’s Republic of China) targeting entities that are deemed part of the Chinese military-industrial complex. Additionally, on October 7, 2022, the Bureau of Industry and Security of the U.S. Department of Commerce (“BIS”), issued new export controls related to the Chinese semiconductor manufacturing, advanced computing and supercomputer industries. The new export controls impose broad end-use and other restrictions on facilities in China that develop or produce semiconductor chips or manufacturing equipment, which may impact our ability to license or support our software solutions to entities in or doing business with certain advanced AI or “supercomputer” design companies, foundries and manufacturers of assemblies and components in China. In addition, in October 2023 and December 2024, BIS tightened restrictions and compliance burdens on the transfer to China (including Macau) of certain advanced artificial intelligence chips, semiconductors and supercomputing items, software and technology subject to U.S. export controls, in addition to restricting sales to certain semiconductor fab facilities in China. Moreover, restrictions were implemented on U.S. persons’ activities in support of the transfer of certain items not subject to U.S. export controls. The extraordinary complexity of these rules, combined with the likelihood of further amendments from BIS, significantly increases our risk of non-compliance, which could result in fines and other penalties, and could change how these rules impact us. While we continue to adjust our policies and practices to ensure compliance with these regulations, and we will seek to mitigate their impact, there can be no assurances that current or future regulations and tariffs will not have a material adverse effect on our business. We maintain policies and procedures reasonably designed to ensure compliance with applicable trade control requirements, laws, and restrictions, including prohibiting the export, re-export or transfer of technology to companies on the Entity List maintained by BIS or other governmental restricted party lists, as well as prohibiting the sale of our products in certain countries. However, due to our global operations, we cannot ensure that our policies and procedures, including related safeguards, will effectively prevent violations, including the unauthorized diversion of products to countries or persons that are the target of U.S. sanctions; the export, re-export, or transfer of technology to companies on BIS’s Entity List or other governmental restricted party lists; failure to comply with rules related to import and export of products; appropriate import product classifications; or other trade accounting requirements, laws, and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August 9, 2023, President Biden issued an executive order addressing investments by U.S. persons in companies located in designated countries of concern, currently, China (including Hong Kong and Macau) that engage with certain categories of sensitive technology and products, including semiconductors and microelectronics, quantum information technologies and AI. The executive order requires regulations that would implement limits and potential notification requirements on such investments and was accompanied by an advance notice of proposed rule-making that outlines the intended scope of the program and solicits input from the public regarding the implementation of the executive order. There are no currently effective restrictions or notification requirements; further rule-making is needed to implement the executive order. While we believe it is possible that such regulations may impact our customers, our suppliers, or our business with respect to China, given the uncertainties with respect to the timing and ultimate requirements of these regulations, we are unable to assess the extent of any such impact.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Further U.S. government escalation of restrictions related to China and increased restrictions on Chinese exports may lead to regulatory retaliation by the Chinese government and possibly further escalate geopolitical tensions, and any such scenarios may adversely impact our business. Furthermore, we may, in the future, develop or sell software solutions that are subject to such rules and restrictions. In addition, such export control rules may change or be expanded or interpreted to include the sale of our current software solutions. In addition, geopolitical disruptions among the United States and China could cause general market disruptions and subject our sales efforts in China to licensing restrictions in the future. The prospect of future export controls that are implemented in a similar manner may continue to have an ongoing impact on our business, results of operations or financial conditions. To the extent we are unable to license our software solutions or support to customers in China, our business, including our revenues and our prospects, would be adversely affected.</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Downturns or volatility in general economic conditions could harm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revenue, gross margin, and ability to achieve and maintain profitability depend significantly on general economic conditions and the demand for software solutions in the markets in which our customers compete. Weaknesses in the global economy and financial markets and any adverse changes in general domestic and global economic conditions that may occur in the future, including any recession, economic slowdown or disruption of credit markets, may lead to, lower demand for products that incorporate our solutions.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we have grown, we have become increasingly subject to the risks arising from adverse changes in domestic and global economic conditions. As a result of the recent economic slowdown and current economic uncertainty, many companies are delaying or reducing technology purchases, which has had, and is expected to continue to have, an impact on our visibility into the closing of new business, as opposed to our recurring business. This slowdown and uncertainty has also contributed to, and may continue to contribute to, reductions in sales, longer sales cycles, and increased price pressures, which could adversely affect our business, financial condition, and results of operations. </w:t>
      </w:r>
    </w:p>
    <w:p>
      <w:pPr>
        <w:pStyle w:val="TextBody"/>
        <w:bidi w:val="0"/>
        <w:spacing w:lineRule="auto" w:line="288" w:before="120" w:after="180"/>
        <w:jc w:val="both"/>
        <w:rPr>
          <w:rFonts w:ascii="Arial;sans-serif" w:hAnsi="Arial;sans-serif"/>
          <w:b w:val="false"/>
          <w:color w:val="000000"/>
          <w:sz w:val="19"/>
        </w:rPr>
      </w:pPr>
      <w:r>
        <w:rPr>
          <w:rFonts w:ascii="Arial;sans-serif" w:hAnsi="Arial;sans-serif"/>
          <w:b w:val="false"/>
          <w:color w:val="000000"/>
          <w:sz w:val="19"/>
        </w:rPr>
        <w:t>Additionally, countries in certain international regions in which we operate have continued to experience weaknesses in their currency, banking, and equity markets. These weaknesses could adversely affect customer demand for our software solutions and could have an adverse effect on our financial condition, results of operations and cash flow.</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customers may fail to pay us in accordance with the terms of their agreements.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our customers fail to pay us in accordance with the terms of our agreements, we may be adversely affected both from the inability to collect amounts due and the cost of enforcing the terms of our agreements, including litigation and arbitration costs. The risk of these issues increases with the term length of our customer arrangements. Furthermore, some of our customers may seek bankruptcy protection or other similar relief and fail to pay amounts due to us, which we have experienced in the past, or may pay those amounts more slowly, either of which could adversely affect our results of operations, financial condition and cash flow.</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Our operations could be disrupted by geopolitical conditions, trade disputes, international boycotts and sanctions, political and social instability, acts of war, terrorist activity or other similar events, which could adversely affect our business, financial condition, and results of operations.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Since we operate on a global basis, our operations could also be disrupted by geopolitical conditions, trade disputes, international boycotts and sanctions, political and social instability, acts of war, terrorist activity or other similar events.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For example, as a result of the conflict between Israel and Hamas, Israel and other regional adversaries, including Hezbollah and Iran, have engaged in direct military hostilities. While we do not currently consider the conflict between Israel and its adversaries to have had a material impact on our business, the ongoing regional conflict could have a negative impact on the economy and business activity globally, and therefore could adversely affect our results of operations, financial condition and cash 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addition, in response to Russia’s invasion of Ukraine, the United States and certain other countries imposed significant sanctions and export controls against Russia, Belarus and certain individuals and entities connected to Russian or Belarusian political, business and financial organizations, and the United States and certain other countries could impose further sanctions, trade restrictions, and other retaliatory actions should the conflict continue or worsen.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board of directors is responsible for overseeing the risks to our business, including risks related to the ongoing conflict between Israel and its adversaries and between Russia and Ukraine. Such risks include an increased risk of cybersecurity attacks, sanctions, risks related to our employees, service-providers and operations in the affected regions and supply chain disruptions that may affect our customers globally. During the three months ended March 31, 2025 and 2024, we generated $0.2 million and $0.1 million in revenues from the Middle East, respectively, including Israel. We had no employees in the Middle East during the three months ended March 31, 2025 and the year ended December 31, 2024. While none of our revenue is derived from Russia or Ukraine, we have employees based in both countries and had, prior to the beginning of the conflict, offices in both countries. In response to the ongoing conflict, we closed our office in Moscow, Russia, and our office in Kyiv, Ukraine, has been temporarily closed. Our board of directors has received periodic reports from management regarding the impact of the conflict on us and considered whether such events have had, or are reasonably likely to have, a material impact on us. Unless and until the conflict in Ukraine is stabilized, we do not intend to reopen office locations in either country.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March 31, 2025, we had 8 employees and 4 contractors in Ukraine, all of whom were working remotely. If our employees in Ukraine become subject to a military draft or are unable to work due to the ongoing conflict, the development of our next generation software could be delayed, which could negatively impact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have taken security measures designed to help protect against cyber-attacks, security breaches and impermissible downloads in Russia and Ukraine. To the extent that our security measures do not timely detect or prevent such cyber-attacks, security breaches or impermissible downloads, we may be subject to a number of risks, including those risks discussed below in “—Risks Related to Intellectual Property, Information Technology and Data Privacy and Security—If our information technology systems, information, or other resources or those of third parties upon which we rely are or were compromised, we could experience adverse consequences resulting from such compromise, including but not limited to damage to our reputation and our business, exposure to liability, and material and adverse effects to our results of operations, potentially irreparably.”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It is not possible to predict the broader consequences of either the Israeli conflict or Russia’s invasion of Ukraine, including related geopolitical tensions, and the measures and retaliatory actions taken by the United States, and other countries in respect thereof as well as any counter measures or retaliatory actions by Russia or Belarus in response, including, for example, potential cyberattacks or the disruption of energy exports, which are likely to cause regional instability, geopolitical shifts, and could materially adversely affect global trade, currency exchange rates, regional economies and the global economy. The situation remains uncertain, and while it is difficult to predict the impact of any of the foregoing, the conflict and actions taken in response to either conflict could, but are not presently expected to, materially increase our costs, disrupt our supply chain, reduce our sales and earnings, impair our ability to raise additional capital when needed on acceptable terms, if at all, or otherwise further adversely affect our business, financial condition,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A substantial portion of our revenue comes from our international sales channels, and we have significant operations in numerous international geographies. As such, any adverse fluctuations in exchange rates could adversely affect our performance.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During the three months ended March 31, 2025 and 2024, 80% and 74%, respectively, of our revenue was from international customers. We expect to continue to generate a significant amount of revenue through international sales in the future. Our international sales team sells our software solutions to new and existing customers, expands installations within the existing customer base, offers consulting services and provides the first line of technical support. The revenues and expenses associated with our international direct sales channels are subject to foreign currency exchange fluctuations, including the potential of a weakening American dollar, which would impact our ability to compete internationally. Fluctuations in exchange rates for Japanese Yen have adversely affected our revenue because of a stronger American dollar in recent years. Our future financial results may be impacted by fluctuations in exchange rates, including Korean Won, Chinese Yuan, and Japanese Yen.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currently do not hedge any of our foreign currency exposure. However, our financial strategies may include hedging practices aimed at mitigating risks associated with foreign exchange fluctuations. However, if our hedging strategies are not executed accurately or if market conditions evolve unpredictably, it could result in significant financial misjudgments. This misalignment in our hedging approach could adversely impact our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120" w:after="180"/>
        <w:jc w:val="both"/>
        <w:rPr>
          <w:rFonts w:ascii="Arial;sans-serif" w:hAnsi="Arial;sans-serif"/>
          <w:b/>
          <w:i/>
          <w:color w:val="000000"/>
          <w:sz w:val="19"/>
        </w:rPr>
      </w:pPr>
      <w:bookmarkStart w:id="1" w:name="ibf6e7bfb970a42ca9f15ccdf61a74923_559450"/>
      <w:bookmarkEnd w:id="1"/>
      <w:r>
        <w:rPr>
          <w:rFonts w:ascii="Arial;sans-serif" w:hAnsi="Arial;sans-serif"/>
          <w:b/>
          <w:i/>
          <w:color w:val="000000"/>
          <w:sz w:val="19"/>
        </w:rPr>
        <w:t xml:space="preserve">Our ability to raise additional capital in the future may be limited and could prevent us from executing our growth strategy.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ability to operate and expand our business depends on the availability of adequate capital, which in turn depends on cash flow generated by our business and future debt, equity or other applicable financing arrangements. We believe that our cash flow from operations and existing cash and cash equivalents and marketable securities balances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market acceptance of our SIP and other solutions, and our IP deployment solutions;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the need to adapt to changing technologies and technical requirements;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the existence of opportunities for expansion; and </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access to and availability of sufficient management, technical, marketing and financial personnel.</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or other activities. There can be no assurance that additional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Adverse developments affecting the financial services industry could adversely affect our liquidity, financial condition and results of operations, either directly or through adverse impacts on certain of our vendors and customers.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as receiver. Similarly, on March 12, 2023, Signature Bank and Silvergate Capital Corp. were each swept into receivership. Although we are not a borrower or party to any financial instruments with SVB, Signature Bank or any other financial institution currently in receivership, if any of the banks which hold our cash deposits were to be placed into receivership, we may be unable to access such funds. As of March 31, 2025, $4.1 million, or 14%, of our cash and cash equivalents were maintained with one financial institution, where our current deposits are in excess of federally insured limits.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Software bugs or defects could expose us to liability and harm our reputation and we could lose market share.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Software products frequently contain bugs or defects, especially when first introduced, when new versions are released, or when integrated with technologies developed by acquired companies, and the likelihood of bugs or defects may increase for our business if we accelerate the frequency of its product releases. Customers have in the past identified bugs or defects in our products, and there can be no assurance that bugs or defects will not be found in the future in new or enhanced products after commencement of commercial shipments. Product bugs or defects, including those resulting from third-party licensors, have in the past and may in the future affect the performance or interoperability of our products, could delay the development or release of new products or new versions of products and could adversely affect market acceptance or perception of our products. We are currently in receipt of a request from a customer for compensation as a result of alleged product bugs or defects, and there can be no assurance that we will resolve this matter, or any similar future complaint, in a manner that preserves the customer relationship and does not otherwise adversely affect our business or operating results. In addition, any allegations of manufacturability issues resulting from use of our IP products could, even if untrue, adversely affect our reputation and our customers’ willingness to license IP products from us. Any such bugs or defects or delays in releasing new products or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versions of products or allegations of unsatisfactory performance could cause us to lose customers, increase our service costs, result in diversion of resources, damage to our reputation and subject us to liability for damages, any one of which could materially and adversely affect our business and operating results.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employees, consultants and third-party providers have in the past and may in the future engage in misconduct that materially adversely affects 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employees, consultants and third-party providers have in the past and may in the future engage in misconduct that materially and adversely affects us. For example, a former employee in China impermissibly used our computers and software to write and configure software for other companies. Misconduct by these parties could include intentional failures to comply with the applicable laws and regulations in the United States and abroad, report financial information or data accurately, violate our internal security policies or duties of confidentiality or disclose unauthorized activities to us. Such misconduct could result in loss of proprietary information or trade secrets, legal or regulatory sanctions, loss of important business information and cause serious harm to our reputation. It is not always possible to identify and deter misconduct, and any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third-party providers were to engage in or be accused of misconduct, we could be exposed to legal liability, incur substantial costs, loss of proprietary information, our business and reputation could be materially adversely affected, and we could fail to retain key employees.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Periodic reorganizations and adjustments to our sales force could temporarily impact productivity and adversely disrupt our sales.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rely heavily on our direct sales force. From time to time, we reorganize and make adjustments to our sales force in response to such factors as management changes, performance issues, market opportunities and other considerations. These changes may result in a temporary lack of sales production and may adversely impact revenue in future quarters. There can be no assurance that we will not restructure our sales force in future periods or that the transition issues associated with such a restructuring will not recur.</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Variations in actual sales activity from sales forecasts could adversely affect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make many operational and strategic decisions based upon short-term and long-term sales forecasts. Our sales personnel continually monitor the status of all proposals, including the estimated closing date and the value of the sale, in order to forecast quarterly and annual sales. These forecasts are subject to significant estimation and are impacted by many external factors. For example, a slowdown in research and development spending or economic factors could cause purchasing decisions to be delayed. A variation in actual sales activity from forecast could cause us to plan or to budget incorrectly and, therefore, could adversely affect our business, financial condition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may not realize the anticipated benefits of our acquisitions or investments, our business could be disrupted because of acquisitions or investments and, depending on how we finance or fund such acquisitions or investments, we could use significant amounts of cash or incur substantial debt.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success depends in part on our ability to continually enhance and broaden our software solutions offerings in order to support our long-term strategic direction, strengthen our competitive position, expand our customer base, provide greater scale to increase our investments in research and development to accelerate innovation, provide increased capabilities to our existing software solutions, supply new software solutions and services, and enhance our distribution channels. Accordingly, our success depends in part on our ability to identify, complete and integrate acquisitions. Over the past several years, we have completed several such acquisitions of companies or strategic assets, and from time to time we will likely seek to acquire or invest in businesses, products, or technologies, such as our March 2025 acquisition of a suite of optical proximity correction tools from Cadence Design Systems, Inc. and our April 2025 acquisition of Tech-X Corporation. Any acquisition, investment or business relationship may result in unforeseen operating difficulties and expenditures, as we have experienced historically. In particular, we may encounter difficulties assimilating or integrating the businesses, technologies, products, personnel or operations of the acquired companies, particularly if the key personnel of the acquired company choose not to work for us, their software is not easily adapted to work with our software solutions or we have difficulty retaining the customers of any acquired business due to changes in ownership, management or otherwise. For example, we have in the past and may in the future face challenges associated with the integration and migration of processes, including issue tracking,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release procedures and standardization of license models, which can delay introduction of software solutions. We may be unable to successfully integrate previously acquired businesses and technologies or those acquired in the future, which could adversely impact our business, financial condition and results of operations.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Acquisitions and investments involve numerous risks, including:</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inability to complete the acquisition or investment on commercially acceptable terms;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inability to obtain timely approvals from governmental authorities under competition and antitrust laws and the resulting delay in consummating the acquisition;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risk that we may have difficulty incorporating the acquired technologies or products with our existing software solutions and maintaining uniform standards, controls, procedures, and policies;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risk that we may not realize the anticipated increase in our revenue if a larger than predicted number of customers decline to renew annual leases or software license updates and license support or, if we are unable to sell or license the acquired solutions to our customer base;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unforeseen difficulties in legal entity merger integration activities that may result in legal and tax exposures or the loss of anticipated tax benefits;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disruption of our ongoing businesses and diversion of management attention;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risk that our relationships with current and new employees, customers, partners and distributors could be impaired;</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difficulties in integrating the acquired entities, products or technologies and overcoming any unforeseen technical problems with the acquired products or technologies;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difficulties in operating the acquired business profitably;</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difficulties in preserving and transitioning important licensing, research and development, and customer, distributor and supplier relationships;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difficulties in implementing the appropriate controls and procedures to ensure the acquired entity is in compliance with the Sarbanes-Oxley Act;</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risk that the acquisition may result in increased litigation or contingencies, including as described in –“Pending or future investigations or litigation could have a material adverse effect on our results of operations and our stock price” below;</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risks associated with entering lines of business or geographies in which we have no or limited prior experience;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unanticipated costs, expenses or liabilities.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any future acquisitions or investments may result in: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issuances of dilutive equity securities, which may be at a discount to market price;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use of significant amounts of cash;</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incurrence of debt;</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assumption of significant liabilities;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unfavorable financing terms;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large one-time expenses;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the creation of certain intangible assets, including goodwill, the write-down of which may result in significant charges to earnings.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Any of these factors could have a material adverse effect on our business, financial condition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If we lose the services of our senior executives or key technical personnel who possess specialized industry knowledge and technical skills, or are unable to hire additional key personnel, it could reduce our ability to compete, to manage our operations effectively, or to develop new software solutions and services.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highly dependent upon the ability and experience of our senior executives and our key technical and other management employees, and we do not maintain key person insurance for any of our employees. Although we have employment agreements with certain employees, the loss of these employees, or any of our other key employees, could adversely affect our ability to conduct our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Further, to be successful, we must also attract and retain key employees who join us organically and through acquisitions. There are a limited number of qualified engineers with specialized applicable skills, and competition for these individuals and other qualified employees is intense and has increased globally, including in major markets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Asia. Our employees are often recruited aggressively by our competitors and our customers worldwide. Any failure to recruit and retain key employees could harm our business, results of operations and financial condition. Additionally, efforts to recruit and retain qualified employees could be costly and negatively impact our operating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Historically we have issued equity awards as a key component of our overall compensation. If we are unable to grant attractive equity-based packages in the future, it could limit our ability to attract and retain key employees.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may not be able to effectively manage our growth, and we may need to incur significant expenditures to address the additional operational and control requirements of our growth, either of which could harm our business and operating results.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To continue to grow and to meet our ongoing obligations as a public company, we must continue to expand our operational, engineering, accounting and financial systems, procedures, controls, personnel and other internal management systems. We must also expand our reporting and compliance infrastructure to ensure that relevant information is shared with and among management and our board of directors, including with respect to actual or alleged wrongdoing within our Company. We have in the past experienced inadequate reporting and communication regarding wrongdoing, which resulted in delays and inefficiencies in taking appropriate action. Such expansions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or may face additional failures with respect to our reporting and compliance infrastructure.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improve our reporting and compliance infrastructure or effectively motivate and manage our new and future employees, it could harm our business.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Our estimates of market opportunity and forecasts of market growth may prove to be inaccurate.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Market opportunity estimates and growth forecasts whether obtained from third-party sources or developed internally, are subject to significant uncertainty and are based on assumptions and estimates that may prove to be inaccurate. The estimates and forecasts we have or may make relating to the size and expected growth of our target market and market demand may also prove to be inaccurate. Assumptions as to the future growth of the integrated circuits and electronic manufacturing markets, and the continued advancement of technology in those industries, may prove to be inaccurate or incorrect. In addition, the estimated global EDA market may not materialize in the timeframe we expect, if ever, and even if the markets meet our current expectations, this should not be taken as indicative of our future growth or prospects. In order to be successful, we will need to continue to develop and advance our software solutions, secure new and renewed bookings, obtain sufficient capital to finance our business and otherwise successfully scale our business and operations. We face a number of challenges in achieving these objectives, including those described elsewhere in these risk factors. There can be no assurance that we will be able to achieve our objectives or successfully grow our business, capture meaningful market share or take advantage of market opportunities.</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Risks Related to Intellectual Property, Information Technology and Data Privacy and Security</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If we are unable to protect our proprietary technology and inventions through patents and other intellectual property rights, our ability to compete successfully and our financial results could be adversely impacted.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seek to protect our proprietary technology and innovations, particularly those relating to our software solutions, through patents, trade secrets and other intellectual property rights. Maintenance of our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Additionally, it is difficult and costly to monitor the use of our intellectual property. It may be the case that our intellectual property is already being infringed and infringement may occur in the future without our knowledge. Litigation may be necessary to enforce our intellectual property rights. Additionally, defending our intellectual property rights might necessitate significant financial and legal resources. Any such expenditure could negatively impact our financial performance.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While it is our policy to protect and defend our rights to our intellectual property, we cannot predict whether steps taken by us to enforce and protect our intellectual property rights will be adequate to prevent infringement, misappropriation, or other violations of our intellectual property rights. Any inability to meaningfully enforce our intellectual property rights could harm our ability to compete. Moreover,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Any litigation of this nature, regardless of outcome or merit, could materially harm our business and hurt our competitive advantage.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generally control access to and use of our confidential information and trade secrets using internal and external controls, including contractual protections with employees, contractors, and customers. We rely in part on the laws of the United States and international laws to protect our trade secrets.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 However, we cannot guarantee that we have entered into such agreements with every such party and we may not have adequate remedies in case of a breach of any such agreements. Our trade secrets could be disclosed to our competitors or others may independently develop substantially equivalent technologies or otherwise gain access to our trade secrets. Trade secrets can be difficult to protect and some courts inside and outside of the United States are less willing or unwilling to protect trade secrets.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Despite our efforts to protect our intellectual property, unauthorized parties have, and may in the future copy, misappropriate, or otherwise obtain and use our software, technology, or other information that we regard as our proprietary intellectual property. In addition, we intend to expand our international operations, and effective patent, copyright, trademark, and trade secret, and other intellectual property protection may not be available or may be limited in some foreign countries. We currently have no trademark registrations or pending applications to register trademarks in foreign countries. Further, intellectual property law, including statutory and case law, particularly in the United States, is constantly developing, and any changes in the law could make it harder for us to enforce our rights.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have predominantly developed our proprietary technology and other intellectual property internally, through development by our employees and independent contractors and externally, including through our research institution partners and their students. Our development has taken place globally, including the United States, Brazil, Europe, the Middle East and India. We attempt to protect our intellectual property, technology, and confidential information by requiring our employees, consultants, contractors and developer partners who develop intellectual property on our behalf to enter into confidentiality and invention assignment agreements. However, these agreements may not have been properly entered into on every occasion with the applicable counterparty, and such agreements may not always have been effective when entered into in granting ownership of, controlling access to and distribution of our proprietary information or technology. Certain state laws may require that we provide certain notices with respect to the assignment of particular inventions in such agreements, and we may not have been able to include such specific notice requirements in every occasion that it required. Further, if we failed to enter into one of these agreements, or if the assignment language is found to be insufficient under applicable laws, it may not have effectively granted ownership of certain technology or other intellectual property to us. In such an event, there would be a risk that the applicable counterparty would not be available to (or would not be willing to) assist us in perfecting our ownership of the technology or intellectual property, or the counterparty may even assert ownership rights against us and make claims for fees, damages, or equitable relief with respect to such technology or intellectual property, which may have an adverse effect on our ability to utilize, perfect, or protect our proprietary rights over such technology and intellectual property. Each jurisdiction has different rules regarding the correct language and procedures required to effectively assign intellectual property rights, and we may not have effectively implemented such language and procedures in each jurisdiction on every occasion, which may also limit our ability to perfect and protect our technology and intellectual property rights. Further, these agreements do not prevent our competitors or partners from independently developing technologies that are substantially equivalent or superior to our products. In addition, these agreements may not effectively prevent unauthorized use or disclosure of our confidential information, intellectual property,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technology and may not provide an adequate remedy in the event of unauthorized use or disclosure of our confidential information or technology, or infringement of our intellectual property.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From time to time, particularly over the last several years, we have acquired a portion of our intellectual property from one or more third parties. While we have conducted diligence with respect to such acquisitions, because we did not participate in the development or prosecution of such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technology is subject to the threat of piracy, unauthorized copying and other forms of intellectual property infringement.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regard our technology as proprietary and take measures to protect our technology and other confidential information from infringement. Piracy and other forms of unauthorized copying and use of our technology may become persistent, and policing is difficult. Further, the laws of some countries in which our products are or may be distributed either do not protect our intellectual property rights to the same extent as the laws of the United States, or are poorly enforced. Legal protection of our rights may be ineffective in such countries. In addition, although we take steps to enforce and police our rights, we have in the past and may in the future experience piracy, as factors such as the proliferation of technology designed to circumvent the protection measures used by our business partners or by us, may expand the unauthorized copying and use of our technology.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If we are unable to protect our proprietary technology and inventions through trade secrets, our competitive position and financial results could be adversely affected.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noted above, we seek to protect our proprietary technology and innovations, particularly those relating to our software solutions, as patents, trade secrets and other forms of intellectual property. Additionally, while software and other forms of our proprietary works may be protected under patent or copyright law, in some cases we have chosen not to seek any patents or register any copyrights in these works, and instead, primarily rely on protecting our software as a trade secret. In the United States, trade secrets are protected under the federal Economic Espionage Act of 1996 and the Defend Trade Secrets Act of 2016, or the Defend Trade Secrets Act, and under state law, with many states having adopted the Uniform Trade Secrets Act, or the UTSA. In addition to these federal and state laws inside the United States, under the World Trade Organization’s Trade Related-Aspects of Intellectual Property Rights Agreement, or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and photonics industries are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Many of our employees, consultants and advisors, or individuals that may in the future serve as our employees, consultants and advisors, are currently or were previously employed at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and employees. Claims that we, our employees, consultants, or advisors have misappropriated the confidential or proprietary information, trade secrets, or know-how of third parties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success depends on the interoperability of our software solutions with our customers’ intended use cases and with products and services of other companies, including our competitors.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success of our software solutions depends on the interoperability of our software with our customers’ intended use cases and often depends on the existing products and services of other companies, including our direct competitors. As a result, our customers’ bookings may rapidly evolve, utilize multiple standards, include multiple versions and generations of our software. In addition, to the extent that hardware and software vendors, including our competitors, perceive that their applications or technologies compete with our software solutions or services, they may have an incentive to withhold any cooperation necessary to ensure interoperability, decline to share access or sell to us their proprietary protocols or formats, or engage in practices to actively limit the functionality, compatibility and certification of our software solutions. In addition, competitors may fail to certify or support or continue to certify or support our software solutions for their systems.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any of the foregoing occurs, our software solutions development efforts may be delayed or foreclosed and it may be difficult and more costly for us to achieve functionality that would make our offerings attractive to our customers or potential customers, and we may, among other consequences, lose or fail to increase our market share and experience reduced demand for our services, any of which could negatively impact our business, financial condition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If our information technology systems, or those of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the ordinary course of our business, we and the third parties upon which we rely, routinely receive, collect, store, process, generate, use, transfer, disclose, make accessible, protect, secure, dispose of, transmit, and share (collectively, process) personal data and other sensitive information, including proprietary technology, trade secrets and other confidential information about our business and our customers, suppliers, and business partners (collectively, sensitive data).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a result, we and the third parties upon which we rely regularly face a variety of evolving risks and threats that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 supported actors.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Some actors now engage, and are expected to continue to engage, in cyber-attacks, including without limitation, nation-state actors for geopolitical reasons and in connection with military conflicts and defense operations. During times of war and other major conflicts, we and the third parties upon which we rely may be vulnerable to a heightened risk of these attacks, including retaliatory cyber-attacks that could materially disrupt our systems, supply chain and operations and ability to provide our services.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 chain attacks, software bugs, server malfunctions, software or hardware failures, loss of data or other information technology assets, adware, attacks enhanced or facilitated by AI, telecommunications failures, earthquakes, fires, floods, and other similar threats.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particular, severe ransomware attacks are becoming increasingly prevalent and can lead to significant interruptions in our operations, ability to provide our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acquired or integrated entities, and it may be difficult to integrate companies into our information technology environment and security program.</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our reliance on third-party service providers could introduce new cybersecurity risks and vulnerabilities, including supply chain attacks, and other threats to our business operations. We rely on third-party service providers and technologies to operate critical business systems to process sensitive data in a variety of contexts, including, without limitation,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and our vendors may, have periodically experienced attempted cybersecurity attacks that have not resulted in any known breaches or access to our data to date. While we have implemented security measures designed to protect against security incidents, there can be no assurance that these measures will be effective. We take steps to detect, mitigate and remediate vulnerabilities in our information systems (such as our hardware and/or software, including that of third parties upon which we rely). We may not, however, detect and remediate all such vulnerabilities on a timely basis. Further, we may experience delays in developing and deploying remedial measures designed to address any such identified vulnerabilities. Such vulnerabilities could be exploited and result in a security incident.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Additionally, 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the use of our services or cause customers to stop using our services, deter new customers from using our services, and negatively impact our ability to grow and operate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Furthermore, we cannot be sure that our cyber insurance policies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our sensitive data or our customers’ sensitive data could be leaked, disclosed, or revealed as a result of or in connection with our employees’, personnel’s, or vendors’ use of generative AI technologies.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software licenses contain third-party open source software components, and failure to comply with the terms of the underlying open source software licenses could restrict our ability to deliver our software licenses or subject us to litigation or other actions.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Some of our software licenses contain software modules licensed to us under “open source” licenses, and we expect to continue to incorporate such open source software in our software licenses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products.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Some open source licenses contain requirements that we make available source code for modifications or derivative works we create based upon the type of open source software we use, or grant other licenses to our intellectual property. We seek to ensure that our proprietary software is not combined with, and does not incorporate, open source software in ways that would require the release of the source code of our proprietary software to the public. However, if we combine our proprietary software with open source software in a certain manner, we could, under certain open source licenses, be required to release the source code of our proprietary software to the public. This would allow our competitors or new entrants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 We incorporate software that is licensed under open source licenses which could require release of proprietary code if such license was released or distributed in any manner that would trigger such a requirement to third parties. We take steps to ensure that such software is not released or distributed. Additionally, some open source projects have vulnerabilities and architectural instabilities and are provided without warranties or services to actively provide us patched versions when available, and which, if not properly addressed, could negatively affect the performance of our products.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Although we have certain processes in place to monitor and manage our use of open source software to avoid subjecting our software licenses to conditions we do not intend, the terms of many open source licenses have not been interpreted by U.S. or foreign courts, and there is a risk that these licenses could be construed in a way that could impose unanticipated conditions or restrictions on our ability to provide or distribute our products. From time to time, there have been claims challenging the ownership of open source software against companies that incorporate open source software into their products, and the licensors of such open source software provide no warranties or indemnities with respect to such claims. As a result, we and our customers could be subject to lawsuits by parties claiming ownership of what we believe to be open source software. Moreover, we cannot assure you that our processes for monitoring and managing our use of open source software in our software licenses has been, or will be, effective.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we are held to have breached or failed to fully comply with all the terms and conditions of an open source software license, or if an author or other third party that distributes such open source software were to allege that we had not complied with the conditions of one or more of these licenses, we could be required to incur significant legal expenses defending against such allegations, could be subject to significant damages, enjoined from the licensing of our software licenses or other liability, or be required to seek costly licenses from third parties to continue providing our software on terms that, if available at all, are not economically feasible, to re-engineer our software, to discontinue or delay the provision of our software if re-engineering could not be accomplished on a timely basis, or to make generally available, in source code form, our proprietary code, any of which would adversely affect our business, financial condition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may not be able to continue to obtain licenses to third-party software and intellectual property on reasonable terms or at all, which may disrupt our business and harm our financial results.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license third-party software and other intellectual property for use in research and development and, in several instances, inclusion in our products. We also license third-party software, including the software of our competitors, to test the interoperability of our software solutions with other industry software tools and in connection with our professional services. Our rights to use and employ software and other intellectual property that has been licensed to us, including our rights to develop, manufacture, or sell products covered by claims in licensed patents that are a subject of these licenses, are and will be subject to the continuation of and compliance with the terms of those licenses. We have and may in the future be in breach of a license, which may lead to the termination of rights granted to us under such license. This could result in competitors being able to enter our target markets and compete with us. We also may not be able to further develop, manufacture, or sell the affected products. Our third-party licenses may need to be renegotiated or renewed from time to time, or we may need to obtain new licenses in the future. Some of these licenses may also be terminated by the counterparty for convenience with limited notice to us. Third parties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stop adequately supporting or maintaining their technology, they may become insolvent or cease conducting business in the ordinary course, or they or their technology may be acquired by our competitors. From time to time, our licensors may license their technology to us on condition that we do not provide such technology or licenses incorporating such technology to certain customers. If we are unable to obtain licenses to these third-party software and intellectual property on reasonable terms or at all, we may not be able to sell the affected products, our customers’ use of the licenses may be interrupted, or our software solutions development processes and professional services offerings may be disrupted, which could in turn harm our financial results, our customers, and our reputation.</w:t>
      </w:r>
    </w:p>
    <w:p>
      <w:pPr>
        <w:pStyle w:val="TextBody"/>
        <w:bidi w:val="0"/>
        <w:spacing w:lineRule="auto" w:line="288" w:before="0" w:after="190"/>
        <w:jc w:val="both"/>
        <w:rPr/>
      </w:pPr>
      <w:r>
        <w:rPr>
          <w:rFonts w:ascii="Arial;sans-serif" w:hAnsi="Arial;sans-serif"/>
          <w:b w:val="false"/>
          <w:color w:val="000000"/>
          <w:sz w:val="19"/>
        </w:rPr>
        <w:t>The inclusion of third-party intellectual property in our software solutions can also subject us and our customers to intellectual property infringement claims. Although we seek to mitigate this risk contractually, we have not always been able to, and may not in future be able to sufficiently limit our potential liability. Regardless of outcome, infringement claims may require us to use significant resources and may divert management’s attention. See the risk factor “</w:t>
      </w:r>
      <w:r>
        <w:rPr>
          <w:color w:val="000000"/>
          <w:shd w:fill="FFFFFF" w:val="clear"/>
        </w:rPr>
        <w:t>—</w:t>
      </w:r>
      <w:r>
        <w:rPr>
          <w:rFonts w:ascii="Arial;sans-serif" w:hAnsi="Arial;sans-serif"/>
          <w:b w:val="false"/>
          <w:color w:val="000000"/>
          <w:sz w:val="19"/>
          <w:shd w:fill="FFFFFF" w:val="clear"/>
        </w:rPr>
        <w:t>If we are unable to protect our proprietary technology and inventions through patents and other intellectual property rights, our ability to compete successfully and our financial results could be adversely impacted</w:t>
      </w:r>
      <w:r>
        <w:rPr>
          <w:rFonts w:ascii="Arial;sans-serif" w:hAnsi="Arial;sans-serif"/>
          <w:b w:val="false"/>
          <w:color w:val="000000"/>
          <w:sz w:val="19"/>
        </w:rPr>
        <w:t xml:space="preserve">.”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a regular part of our business, we process sensitive data and these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the past few years, numerous U.S. states, including California, Virginia, Colorado, Connecticut, and Utah,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Outside the United States, an increasing number of laws, regulations, and industry standards may govern data privacy and security. For example, the EU General Data Protection Regulation (“GDPR”), the UK’s GDPR, and China’s Personal Information Protection Law (“PIPL”)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up to 4% of annual global revenue, whichever is greater, or private litigation related to processing of personal data brought by classes of data subjects or consumer protection organizations authorized at law to represent their interests. Additionally, we also target customers in Asia and have operations in China, Korea, Japan, Taiwan and Singapore and may be subject to new and emerging data privacy regimes in Asia, including Japan’s Act on the Protection of Personal Information, and Singapore’s Personal Data Protection Act.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could result in additional compliance costs, regulatory investigations and actions, and consumer lawsuits. If we are unable to use generative AI, it could make our business less efficient and result in competitive disadvantages.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we may be unable to transfer personal data from the EU, the UK and other jurisdictions to the United States or other countries due to data localization requirements or limitations on cross-border data flows. The EU, UK, and other jurisdictions have enacted laws requiring data to be localized or limiting the transfer of personal data to other countries. In particular, the EU and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EU and UK to the United States in compliance with law, such as the EU standard contractual clauses, the UK’s International Data Transfer Agreement / Addendum, and the EU-U.S. Data Privacy Framework and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EU,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the EU)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Risks Related to Intellectual Property Litigation</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may be subject to litigation, regardless of success or merit, that could cause us to incur substantial expenses, reduce our sales, and divert the efforts of our management and other personnel.</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semiconductor and photonics industries are characterized by vigorous protection and pursuit of intellectual property rights and positions, which has resulted in protracted and expensive litigation for many companies. We may receive communications alleging liability for damages or challenging the validity of our intellectual property or proprietary rights.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Furthermore, an adverse determination of any litigation or defense proceedings could put our intellectual property at risk of being invalidated or interpreted narrowly and could put our related pending patent applications at risk of not issuing. Furthermore,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Our ability to compete successfully depends in part on our ability to commercialize our intellectual property solutions without infringing the patent, trade secret, trademark, copyright, or other intellectual property rights of others.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Just as we seek to protect our technology and inventions with patents, trademarks, copyrights, trade secrets and other intellectual property rights, our competitors and other third parties do the same for their technology and inventions. We have no means of knowing the content of patent applications filed by third parties until they are published, and we may not be aware of any patent applications even following their publication or issue.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semiconductor and photonics industries are rife with patent assertion entities and is characterized by frequent litigation regarding patent and other intellectual property rights. From time to time, we receive communications from third parties that allege that our software solutions or technologies infringe their patent or other intellectual property rights. We are currently subject to litigation alleging we have misappropriated trade secrets, as described in further described in the risk factor “—Risks Related to Legal, Regulatory, Accounting and Tax Matters—Pending or future investigations or litigation could have a material adverse effect on our results of operations and our stock price.” As a public company with an increased profile and visibility, we may receive similar communications or lawsuits in the future.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may not be 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Lawsuits or other proceedings resulting from allegations of infringement could subject us to significant liability for damages, invalidate our proprietary rights and harm our business.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the event that any third party succeeds in asserting a valid claim against us or any of our customers, we could be forced to do one or more of the following:</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discontinue selling access to certain technologies that contain the allegedly infringing intellectual property which may result in a decline in our revenue and could result in breach of contract claim by our affected customers and damage to our reputation;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discontinue using trademarks that allegedly infringe the trademarks of others;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stop receiving payment from a customer that can no longer sell the end-product if it contains allegedly infringing intellectual property;</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seek to develop non-infringing technologies, which may be expensive and not be feasible;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incur significant legal expenses;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pay substantial monetary damages to the party whose intellectual property rights we may be found to be infringing; and/or</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we or our customers could be required to seek licenses to the infringed technology that may not be available on commercially reasonable terms,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a third party causes us to discontinue the use of any of our technologies, we could be required to design around those technologies. If a third party causes us to discontinue using any of our trademarks, we could be required to adopt alternative brand names. If a third party establishes that they are co-authors of a copyrighted work that we use, we could be required to account for profits arising from exploiting such intellectual property. Each of these scenarios could be costly and time consuming and could have an adverse effect on our results of operations. Any significant impairments of our intellectual property rights from any litigation we face could harm our business and our ability to compete in our industry.</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Any dispute regarding our intellectual property may require us to indemnify customers, the cost of which could harm our business.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any potential dispute involving our patents or other intellectual property, our customers could also become the target of litigation. While we generally try to avoid indemnifying our customers, some of our agreements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licensing or royalty payments. </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Risks Related to Our Status as a Controlled Company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Upon completion of the IPO in May of 2024, we became a “controlled company” within the meaning of the Nasdaq listing rules and as such are exempt from certain corporate governance requirements.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a result of Ms. Ngai-Pesic and the members of her immediate family collectively holding more than 50% of the voting power of our company, following the completion of the IPO in May, we became a “controlled company” within the meaning of the Nasdaq listing rules. Therefore, we are not required to comply with certain corporate governance rules that would otherwise apply to us as a listed company on Nasdaq, including the requirement that (i) we have a majority of independent directors on our board of directors; (ii) the compensation of our executive officers be determined by a majority of the independent directors or a compensation committee comprised solely of independent directors; and (iii) director nominees selected or recommended for our board be approved either by a majority of the independent directors or a nominating committee comprised solely of independent directors. Following the IPO, we intend to utilize some or all of these exemptions. As a result, we may not have a majority of independent directors on our board of directors. In addition, our compensation and nominating and corporate governance committees may not consist entirely of independent directors and may not be subject to annual performance evaluations. Should the interests of Ms. Ngai-Pesic and her immediate family members differ from those of our other stockholders, it is possible that the other stockholders might not be afforded such protections as might exist if our board of directors, or our committees, were required to have a majority, or be composed exclusively, of directors who were independent of Ms. Ngai-Pesic and her immediate family members or our management.</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As long as we are a controlled company, your ability to influence matters requiring stockholder approval will be limited, and the interests of our controlling stockholder may conflict with or differ from your interests as a stockholder</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Pesic Family (as defined below) collectively own more than 65% of our total outstanding common stock. For so long as the Pesic Family continue to collectively hold at least 50% of our outstanding common stock, they will be able to elect the members of our board of directors and will have the ability to control all matters affecting us, including:</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through our board of directors, any determination with respect to our business plans and policies, including the appointment and removal of our officers;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any determinations with respect to mergers and other business combinations;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acquisition or disposition of assets;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financing activities;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allocation of business opportunities that may be suitable for us;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payment of dividends on our common stock;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the number of shares available for future issuance and also issuance under our stock plans.</w:t>
      </w:r>
    </w:p>
    <w:p>
      <w:pPr>
        <w:pStyle w:val="TextBody"/>
        <w:bidi w:val="0"/>
        <w:spacing w:lineRule="auto" w:line="288" w:before="0" w:after="190"/>
        <w:jc w:val="both"/>
        <w:rPr/>
      </w:pPr>
      <w:r>
        <w:rPr>
          <w:rFonts w:ascii="Arial;sans-serif" w:hAnsi="Arial;sans-serif"/>
          <w:b w:val="false"/>
          <w:color w:val="000000"/>
          <w:sz w:val="19"/>
          <w:shd w:fill="FFFFFF" w:val="clear"/>
        </w:rPr>
        <w:t xml:space="preserve">Further, for so long as the Stockholders Agreement, dated April 12, 2024, among us and the Pesic Family remains in effect and the Pesic Family owns in the aggregate, at least 25% of the voting power of the then outstanding shares of our capital stock, </w:t>
      </w:r>
      <w:r>
        <w:rPr>
          <w:rFonts w:ascii="Arial;sans-serif" w:hAnsi="Arial;sans-serif"/>
          <w:b w:val="false"/>
          <w:color w:val="000000"/>
          <w:sz w:val="19"/>
        </w:rPr>
        <w:t xml:space="preserve">our amended and restated certificate of incorporation provide </w:t>
      </w:r>
      <w:r>
        <w:rPr>
          <w:rFonts w:ascii="Arial;sans-serif" w:hAnsi="Arial;sans-serif"/>
          <w:b w:val="false"/>
          <w:color w:val="000000"/>
          <w:sz w:val="19"/>
          <w:shd w:fill="FFFFFF" w:val="clear"/>
        </w:rPr>
        <w:t xml:space="preserve">that the prior written approval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pPr>
      <w:r>
        <w:rPr>
          <w:rFonts w:ascii="Arial;sans-serif" w:hAnsi="Arial;sans-serif"/>
          <w:b w:val="false"/>
          <w:color w:val="000000"/>
          <w:sz w:val="19"/>
          <w:shd w:fill="FFFFFF" w:val="clear"/>
        </w:rPr>
        <w:t>consent of the Pesic Family shall be required for us to (i)</w:t>
      </w:r>
      <w:r>
        <w:rPr>
          <w:color w:val="000000"/>
        </w:rPr>
        <w:t xml:space="preserve"> </w:t>
      </w:r>
      <w:r>
        <w:rPr>
          <w:rFonts w:ascii="Arial;sans-serif" w:hAnsi="Arial;sans-serif"/>
          <w:b w:val="false"/>
          <w:color w:val="000000"/>
          <w:sz w:val="19"/>
          <w:shd w:fill="FFFFFF" w:val="clear"/>
        </w:rPr>
        <w:t xml:space="preserve">implement any amendments to our </w:t>
      </w:r>
      <w:r>
        <w:rPr>
          <w:rFonts w:ascii="Arial;sans-serif" w:hAnsi="Arial;sans-serif"/>
          <w:b w:val="false"/>
          <w:color w:val="000000"/>
          <w:sz w:val="19"/>
        </w:rPr>
        <w:t xml:space="preserve">amended and restated certificate of incorporation or bylaws </w:t>
      </w:r>
      <w:r>
        <w:rPr>
          <w:rFonts w:ascii="Arial;sans-serif" w:hAnsi="Arial;sans-serif"/>
          <w:b w:val="false"/>
          <w:color w:val="000000"/>
          <w:sz w:val="19"/>
          <w:shd w:fill="FFFFFF" w:val="clear"/>
        </w:rPr>
        <w:t>that would adversely affect the Pesic Family’s rights thereunder, (ii) effect or consummate a change of control or approve another merger, consolidation, business combination, sale or acquisition that results in changes in the rights and privileges of holders of equity securities, and (iii) effect the liquidation or dissolution or winding up of our business operations.</w:t>
      </w:r>
    </w:p>
    <w:p>
      <w:pPr>
        <w:pStyle w:val="TextBody"/>
        <w:bidi w:val="0"/>
        <w:spacing w:lineRule="auto" w:line="288" w:before="0" w:after="19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Additionally, the Stockholders Agreement provides the Pesic Family has the ability to designate up to four nominees for our board of directors and one non-voting board observer, depending on ownership levels.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Pesic Family’s collective voting control may discourage transactions involving a change of control of us, including transactions in which you as a holder of our common stock might otherwise receive a premium for your shares over the then current market price.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Pesic Family are not prohibited from selling a controlling interest in us to a third party and may do so without the approval of other stockholders and without providing for a purchase of shares of common stock held by other stockholders. Accordingly, the shares of common stock held by other stockholders may be worth less than they would be if the Pesic Family did not maintain voting control over 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interests of the Pesic Family could conflict with or differ from the interests as a holder of other stockholders. For example, the concentration of ownership held by the Pesic Family could delay, defer or prevent a change of control of us or impede a merger, takeover or other business combination that other stockholders may otherwise view favorably. So long as the Pesic Family continue to beneficially own a significant amount of our equity, even if such amount is less than 50%, they may continue to be able to strongly influence or effectively control our decisions.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inability to resolve any disputes that arise between us and Ms. Ngai-Pesic, or other members of the Pesic Family, with respect to our past, future and ongoing relationships may adversely affect our operating results.</w:t>
      </w:r>
    </w:p>
    <w:p>
      <w:pPr>
        <w:pStyle w:val="TextBody"/>
        <w:bidi w:val="0"/>
        <w:spacing w:lineRule="auto" w:line="288" w:before="0" w:after="190"/>
        <w:jc w:val="both"/>
        <w:rPr/>
      </w:pPr>
      <w:r>
        <w:rPr>
          <w:rFonts w:ascii="Arial;sans-serif" w:hAnsi="Arial;sans-serif"/>
          <w:b w:val="false"/>
          <w:color w:val="000000"/>
          <w:sz w:val="19"/>
        </w:rPr>
        <w:t xml:space="preserve">We lease several office facilities from entities controlled by Ms. Ngai-Pesic pursuant to which we recorded a rent expense of $0.1 million during each of the three months ended March 31, 2025 and 2024. Because we are controlled by the Pesic Family, we may not have the leverage to negotiate extensions or amendments to our agreements on terms as favorable to us compared to those we would negotiate with an unaffiliated third party. See </w:t>
      </w:r>
      <w:hyperlink w:anchor="ib25ceb08619c43f3b1eb8feeec269e0d_49">
        <w:r>
          <w:rPr>
            <w:rStyle w:val="InternetLink"/>
            <w:rFonts w:ascii="Arial;sans-serif" w:hAnsi="Arial;sans-serif"/>
            <w:b w:val="false"/>
            <w:color w:val="0000FF"/>
            <w:sz w:val="19"/>
            <w:u w:val="single"/>
          </w:rPr>
          <w:t>Note 6</w:t>
        </w:r>
      </w:hyperlink>
      <w:r>
        <w:rPr>
          <w:color w:val="000000"/>
        </w:rPr>
        <w:t xml:space="preserve"> </w:t>
      </w:r>
      <w:r>
        <w:rPr>
          <w:rFonts w:ascii="Arial;sans-serif" w:hAnsi="Arial;sans-serif"/>
          <w:b w:val="false"/>
          <w:color w:val="000000"/>
          <w:sz w:val="19"/>
        </w:rPr>
        <w:t>to our condensed consolidated financial statements and “Management’s Discussion and Analysis of Financial Condition and Results of Operations—Liquidity and Capital Resources.”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More generally, disputes may arise between Ms. Ngai-Pesic, or other members of the Pesic Family, and us or members of our board of directors or management in a number of areas relating to our or their past and ongoing relationships. We may not be able to resolve any potential conflicts, and even if we do, the resolution may be less favorable than if we were dealing with an unaffiliated party.</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Risks Related to Legal, Regulatory, Accounting and Tax Matters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are subject to anti-corruption and anti-money laundering laws with respect to our operations and non-compliance with such laws can subject us to criminal and/or civil liability and harm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are subject to anti-corruption, anti-bribery, anti-money laundering, and similar laws in the United States and other countries in which we conduct activities, including the U.S. Foreign Corrupt Practices Act of 1977, as amended, or the FCPA, the U.S. domestic bribery statute contained in 18 U.S.C. § 201, the U.S. Travel Act, the USA PATRIOT Act, and the United Kingdom Bribery Act 2010. Anti-corruption and anti-bribery laws, which have been enforced aggressively and are interpreted broadly, generally prohibit companies and their employees, agents, intermediaries and other third parties from directly or indirectly promising, authorizing, making or offering improper payments or other benefits to government officials and others in the private sector. We use third parties, including intermediaries and partners, to support sales of our products. We and these third parties may have direct or indirect interactions with officials and employees of government agencies or state-owned or affiliated entities and we may be held liable for the corrupt or other illegal activities of these third-party intermediaries and partners, our employees, representatives, contractors, and other third parties, even if we do not explicitly authorize such activities. While we have policies and procedures intended to address compliance with anti-corruption, anti-bribery, anti-money laundering and similar laws, we cannot assure you that all of our employees, representatives, contractors, partners, agents, intermediaries or other third parties have not taken, or will not take, actions in violation of our policies and applicable law, for which we may be ultimately held responsible.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Noncompliance with anti-corruption, anti-bribery, and anti-money laundering laws could subject us to investigations, severe criminal or civil sanctions, settlements, prosecution, loss of export privileges, other enforcement actions, disgorgement of profits, significant fines, damages, other civil and criminal penalties or injunctions, whistleblower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complaints, adverse media coverage and other consequences. Any investigations, actions or sanctions could harm our reputation, business, operating results and financial condition.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are subject to governmental export and import controls and sanctions, laws and regulations that could impair our ability to compete in international markets due to licensing requirements and subject us to liability if we do not comply with applicable laws and regulations.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software solutions and technology are subject to export control and import laws and regulations of applicable jurisdictions. Certain of our software solutions are subject to U.S. export controls and sanctions, including the Export Administration Regulations, U.S. Customs regulations, and the economic and trade sanctions regulations administered by the U.S. Treasury Department’s Office of Foreign Assets Control (“OFAC”). These laws and regulations may limit our ability to export our software solutions and technology or may require export authorizations and conditions prior to export. Export control and sanctions laws may also prohibit us from selling or providing our software solutions and technology to embargoed countries, regions, governments, persons, and entities. In addition, various countries regulate the importation of certain products, including through import licensing and permitting requirements, which could limit or restrict our ability to sell our products. The exportation, re-exportation, and importation of our software solutions and technology must comply with these laws and regulations. If we fail to comply with these laws and regulations, we and certain of our employees could be subject to substantial civil or criminal penalties, including the possible loss of export or import privileges, as well as reputational harm.</w:t>
      </w:r>
    </w:p>
    <w:p>
      <w:pPr>
        <w:pStyle w:val="TextBody"/>
        <w:bidi w:val="0"/>
        <w:spacing w:lineRule="auto" w:line="288" w:before="0" w:after="190"/>
        <w:jc w:val="both"/>
        <w:rPr/>
      </w:pPr>
      <w:r>
        <w:rPr>
          <w:rFonts w:ascii="Arial;sans-serif" w:hAnsi="Arial;sans-serif"/>
          <w:b w:val="false"/>
          <w:color w:val="000000"/>
          <w:sz w:val="19"/>
        </w:rPr>
        <w:t>Complying with export control and sanctions laws and regulations can be time-consuming and result in the delay or loss of sales opportunities. We have taken precautions to prevent our software solutions and technology from being provided in violation of such laws and regulations. However, our software solutions and technology have previously been, and could in the future be, provided in violation of such laws despite the precautions in place. Between August 2019 and June 2022, we filed various voluntary disclosures with BIS regarding potential violations of U.S. export control laws and regulations, specifically, the export of our licenses to certain parties designated on BIS’s Entity List and Unverified List, and the export of certain software modules without a license which was required at the time of the transaction but that were declassified by BIS in October 2020 to a lesser controlled export classification, meaning that such software generally no longer requires an export license. In April 2025, BIS issued a warning letter in response to the voluntary self-disclosures instead of pursuing criminal or administrative penalties or taking other enforcement action. However, BIS reserved the right to take future enforcement action should additional information warrant renewed attention. In July and October 2022 and January 2023, we also filed voluntary disclosures with OFAC regarding potential violations of OFAC sanctions programs, specifically the download of certain Company software modules by users in U.S. embargoed countries. In October 2023, we also filed voluntary disclosures with OFAC regarding certain banking transactions made by our third party service provider in Russia on our behalf, through a bank that was sanctioned by OFAC. In July 2024, OFAC issued a cautionary letter regarding the sanctions matters instead of pursuing a civil monetary penalty or taking other enforcement action. However, OFAC reserved the right to take future enforcement action should additional information warrant renewed attention. If either BIS and OFAC chooses to bring an enforcement action against us in relation to any potential</w:t>
      </w:r>
      <w:r>
        <w:rPr>
          <w:color w:val="000000"/>
        </w:rPr>
        <w:t xml:space="preserve"> </w:t>
      </w:r>
      <w:r>
        <w:rPr>
          <w:rFonts w:ascii="Arial;sans-serif" w:hAnsi="Arial;sans-serif"/>
          <w:b w:val="false"/>
          <w:color w:val="000000"/>
          <w:sz w:val="19"/>
        </w:rPr>
        <w:t>violations in the future, such actions could result in the imposition of significant penalties against 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Changes in our software solutions or technology or changes in applicable export or import laws and regulations may create delays in the introduction and sale of our software solutions and technology in international markets, prevent our customers from deploying our software solutions and technology or, in some cases, prevent the export or import of our software solutions and technology to certain countries, governments or persons altogether.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Any change in export or import laws and regulations, shift in the enforcement or scope of existing laws and regulations, or change in the countries, governments, persons or technologies targeted by such laws and regulations, could also result in decreased use of our software solutions and technology, or in our decreased ability to export or sell our software solutions and technology to existing or potential customers. Any decreased use of our software solutions and technology or limitation on our ability to export or sell our software solutions and technology would likely adversely affect our business, financial condition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Pending or future investigations or litigation could have a material adverse effect on our results of operations and our stock price.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are involved in various investigations, claims and legal proceedings from time to time that arise in the ordinary course of our business activities, including intellectual property, collaboration, licensing agreement, product liability, employment, class action, whistleblower and other litigation claims, and governmental and other regulatory investigations and proceedings. For example, we have previously commenced legal proceedings against certain of our customers to protect our intellectual property rights and we may do so again in the future, which could result in resentment within our customer base and adversely affect our business, financial condition and results of operations. Our proceedings currently include customary audit activities by various taxing authorities and legal proceedings.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For example, in December 2020 we sought declaratory relief in the California Superior Court to clarify our obligations regarding the earnout payments due to the selling shareholders of Nangate following its acquisition by us in 2018. In February 2021, the Nangate Parties filed a cross-complaint against us, as well as one current and one former member of our board of directors (the “Co-Defendants”). The cross-complaint alleged breach of contract, fraud, and negligent misrepresentation among other causes of action.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January 2022, the Nangate Parties filed a third amended cross-complaint against us and the Co-Defendants, seeking $20.0 million in damages for breach of contract, fraud, and unfair business practices, as well as punitive damages.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July 23, 2024, a jury awarded the Nangate Parties $11.3 million in damages under breach of contract related claims, including breach of contract and breach of the covenant of good faith and fair dealing, and court and litigation related costs and certain expert expenses subject to the Nangate Parties establishing the legal right to them and to be determined by the court (the “Contract Damages”). As a result, during the year ended December 31, 2024, we recorded a charge to estimated litigation claim and accrued expenses and other current liabilities of $11.3 million for the Contract Damages awarded to the Nangate Parties.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jury also found Silvaco and the Co-Defendants liable for certain of the fraudulent and negligent misrepresentation claims and awarded the Nangate Parties $6.6 million. Incremental punitive damages relating to these claims, including $17.0 million payable by Silvaco and a total of $16.0 million to be paid by the Co-Defendants, were awarded following a hearing on August 16, 2024 (collectively, the “Fraud Damages”). The Nangate Parties have the option to choose either the Contract Damages or the Fraud Damages, but in no circumstances will the Nangate Parties receive both remedies. </w:t>
      </w:r>
    </w:p>
    <w:p>
      <w:pPr>
        <w:pStyle w:val="TextBody"/>
        <w:bidi w:val="0"/>
        <w:spacing w:lineRule="auto" w:line="288" w:before="0" w:after="190"/>
        <w:jc w:val="both"/>
        <w:rPr/>
      </w:pPr>
      <w:r>
        <w:rPr>
          <w:rFonts w:ascii="Arial;sans-serif" w:hAnsi="Arial;sans-serif"/>
          <w:b w:val="false"/>
          <w:color w:val="000000"/>
          <w:sz w:val="19"/>
        </w:rPr>
        <w:t xml:space="preserve">The parties have reached preliminary agreement on key terms of a potential settlement, subject to negotiation and execution of a settlement agreement. In connection with the potential settlement, we recorded a charge to estimated litigation claim and accrued expenses and other current liabilities of $13.1 million for the three months ended March 31, 2025. We can give no assurance that a settlement will be finalized. If a settlement is not finalized, we and the Co-Defendants can appeal the judgement, which will require us to collateralize and post an appellate bond of up to $35.4 million. We believe we have strong grounds for appeal and are pursuing post-trial motions. Additionally, we believe that there are strong arguments in support of substantially reducing the punitive damages portion of the Fraud Damages, which we believe are excessive under California Law, and the United States and California constitutions, particularly given the disproportionate nature of the punitive damages relative to the compensatory damages. See </w:t>
      </w:r>
      <w:hyperlink w:anchor="ib25ceb08619c43f3b1eb8feeec269e0d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Changes in our tax rates or exposure to additional tax liabilities or assessments could affect our profitability, and audits by tax authorities could result in additional tax payments for prior periods.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subject to various U.S. and non-U.S. taxes, including direct and indirect taxes, such as corporate income, withholding, customs, excise, value-added, sales and other taxes imposed on our global activities. Significant judgment is required in determining our provisions for taxes, and there are many transactions and calculations where the ultimate tax determination is uncertain.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tax returns are subject to audit by U.S. federal, state and local tax authorities and by non-U.S. tax authorities. If audits result in tax liabilities or assessments different from our reserves, our future results may include unfavorable adjustments to our tax liabilities, and our financial statements could be adversely affected.</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Changes in tax laws could adversely affect our business, financial position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Any significant changes to the tax system in the United States or in other jurisdictions could adversely affect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U.S. Congress, government agencies in non-U.S. jurisdictions where we and our affiliates do business, and the Organization for Economic Cooperation and Development, or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addressing base erosion and profit shifting.</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Because we operate in numerous taxing jurisdictions, the application of the relevant tax laws can be subject to diverging and sometimes conflicting interpretations by the taxing authorities of these jurisdictions. It is not uncommon for taxing authorities in different countries to have conflicting views with respect to, among other things, whether a permanent establishment exists in a particular jurisdiction, the manner in which the arm’s length standard is applied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for transfer pricing purposes, or the valuation of intellectual property. For example, if the taxing authority in one country where we operate were to reallocate income from another country where we operate, and the taxing authority in the second country did not agree with the reallocation asserted by the first country, we could become subject to tax on the same income in both countries, resulting in double taxation.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taxing authorities were to allocate income to a higher tax jurisdiction, subject our income to double taxation or assess interest and penalties, it could increase our tax liability, which could adversely affect our business, financial position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the United States, the Tax Cuts and Jobs Act enacted in 2017, the Coronavirus Aid, Relief, and Economic Security Act enacted in 2020, and the Inflation Reduction Act enacted in 2022 made many significant changes to U.S. tax laws. For example, the Tax Cuts and Jobs Act of 2017 eliminated the option to deduct research and experimental expenditures in the year incurred in tax years beginning after December 31, 2021, and taxpayers are instead required to capitalize and amortize such expenditures over five years for research activities conducted in the United States and fifteen years for research activities conducted outside the United States. Although there have been legislative proposals to repeal or defer the capitalization requirement, there can be no assurance that such changes will be made. Future guidance from the Internal Revenue Service and other tax authorities with respect to any tax legislation may affect us, and certain aspects of such legislation could be repealed or modified in future legislation.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Due to the potential for changes in tax laws and regulations or changes in the interpretation thereof (including regulations and interpretations pertaining to recent tax reform in the United States), the ambiguity of tax laws and regulations, the subjectivity of factual interpretations, uncertainties regarding the geographic mix of earnings in any particular period and other factors, our estimates of our effective tax rate and our income tax assets and liabilities may be incorrect and our financial statements could be adversely affected. The impact of these factors may be substantially different from period-to-period.</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Risks Related to the Ownership of Our Common Stock</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The price of our common stock is volatile and this volatility may negatively impact the market price of our common stock. Declines in the price of our common stock could subject us to litigation.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trading price and volume of our common stock have fluctuated, including declines in the trading price since our IPO, and could fluctuate significantly in the future in response to numerous factors, many of which are beyond our control. Such declines and fluctuations could result in investors losing all or part of their investment because they may not be able to sell them at or above the prices paid for them. Factors that could affect the trading price and volume of our common stock include: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variations in our operating results and other financial and operational metrics, including the key financial and operating metrics disclosed in this report, as well as how those results and metrics compare to analyst and investor expectations;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speculation in the market about our operating results;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financial guidance we may provide to the public, any changes in guidance or our failure to meet guidance;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failure of securities analysts to initiate or maintain coverage of us, changes in financial estimates or ratings by any securities analysts who follow us, or our failure to meet these estimates or the expectations of investors;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results of operations that otherwise fail to meet the expectations of securities analysts and investors;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changes in earnings estimates or recommendations by securities analysts, or other changes in investor perceptions of the investment opportunity associated with our common stock relative to other investment alternatives;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events or factors resulting from geopolitical changes, global health crises such as the COVID-19 pandemic, war, incidents of terrorism or responses to these events;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announcements of software solutions or enhancements, strategic alliances or significant agreements or other developments by us or our competitors;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announcements by us or our competitors of mergers or acquisitions or rumors of such transactions involving us or our competitors;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changes in management, other key personnel or our board of directors;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disruptions in our operations due to security breaches or other issues;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strength of the global economy or the economy in the jurisdictions in which we operate, and market conditions in our industry and those affecting our customers;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trading activity by our controlling stockholders, the Pesic Family, including upon the expiration of contractual lock-up agreements, and other market participants, in whom ownership of our common stock may be concentrated following the IPO;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the potential effects arising if U.S. or global inflationary and/or currency devaluation trends appear or increase;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market conditions in the semiconductor and photonics industries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performance of the equity markets in general and in our industry;</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operating performance of other similar companies;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actual or anticipated developments in our business or our competitors’ businesses or the competitive landscape generally;</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new laws or regulations or new interpretations of existing laws, or regulations applicable to our business;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changes in regulations, including import, export and economic sanctions, laws and regulations, that may expose us to liability and increase our costs;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litigation or other claims against us;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number of shares of our common stock that are available for public trading; and</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any other factors discussed in this Quarterly Report on Form 10-Q.</w:t>
      </w:r>
    </w:p>
    <w:p>
      <w:pPr>
        <w:pStyle w:val="TextBody"/>
        <w:bidi w:val="0"/>
        <w:spacing w:before="0" w:after="4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In addition, if the market for EDA, TCAD, SIP or other technology stocks or the stock market in general experiences a loss of investor confidence, the price of our common stock could decline for reasons unrelated to our business, results of operations or financial condition. The price of our common stock might also decline in reaction to events that affect other companies, even if those events do not directly affect us. Some companies that have experienced volatility in the trading price of their stock have been the subject of securities class action litigation. If we are the subject of such litigation, it could result in substantial costs and could divert our management’s attention and resources, which could adversely affect our business, financial position and results of operations.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The requirements of being a public company may strain our resources and distract our management.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Until the IPO, we never operated as a public company and will incur significant legal, accounting and other expenses that we did not incur as a private company. We also have incurred and expect to incur stock-based compensation expense, which we did not incur in any material amount as a private company. Our management team and other personnel will need to devote a substantial amount of time to, and we may not effectively or efficiently manage, our status as a public company. For example, we are subject to the reporting requirements of the Exchange Act, the applicable requirements of the Sarbanes-Oxley Act and the Dodd-Frank Wall Street Reform and Consumer Protection Act, the rules and regulations of the SEC and the rules and regulations of Nasdaq. To comply with the various requirements applicable to public companies, we have had to establish and maintain effective disclosure and financial controls and make changes to our corporate governance practices. If, notwithstanding our efforts to comply with these laws, regulations and standards, we fail to comply, regulatory authorities may initiate legal or administrative proceedings against us and our business may be harmed. Further, failure to comply with these rules might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 As such, we have, and intend to continue to, invest resources to comply with evolving laws, regulations and standards. These investments have, and are likely to continue to, result in increased general and administrative expenses and a diversion of management’s time and attention from revenue-generating activities.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management and other personnel are also required to divert attention from other business matters to devote substantial time to the reporting and other requirements applicable to a public company.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that will result from being a public company, the quality and timeliness of our financial reporting may suffer, which could result in late filings or the identification of material weaknesses in our internal controls. Any consequences resulting from inaccuracies or delays in our public reporting could cause our stock price to decline, result in litigation and could harm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Additionally, 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are subject to significant regulatory compliance and internal governance requirements, and the failure to comply with such regulatory and governance requirements could result in a loss of sales or the loss of investor confidence in our financial reports, which could have an adverse effect on our stock price.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subject to the rules and regulations of the SEC, including those that require us to report on our internal controls. Compliance with these requirements has and will cause us to incur additional expenses and cause management to divert time from our day-to-day operations. While we anticipate being able to fully comply with these internal control requirements, if we are not able to comply with the Sarbanes-Oxley reporting or certification requirements relating to internal controls, we may be subject to investigations or sanctions by the SEC, Nasdaq or other regulatory authorities.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stock is listed on Nasdaq and we are subject to ongoing financial and corporate governance requirements of Nasdaq. While we anticipate being able to fully comply with applicable Nasdaq requirements, if we are not able to comply, our name may be published on Nasdaq’s daily Non-Compliant Companies list until Nasdaq determines that we have regained compliance or we no longer trade on Nasdaq.</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There is no guarantee that an active and liquid market for our common stock will be sustained and investors may not be able to sell their shares at or above the price at which they were bought, or at all.</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common stock has been trading on a national securities exchange for less than 12 months. An active market in our common stock may not be sustainable or liquid enough for you to sell your shares, especially given the concentration of outstanding shares. If an active market for our common stock is not sustained, holders of our common stock may not be able to liquidate their investment or resell their shares at favorable prices, or at all. An inactive trading market may also impair our ability to raise capital by selling shares of our common stock and enter into strategic partnerships or acquire other complementary products, technologies or businesses by using shares of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Future issuances of our common stock or sales of a substantial number of shares of our common stock in the public market, or the perception that such sales could occur, could cause the price of our common stock to decline.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 We may issue additional common stock, preferred stock, convertible securities or other equity or equity linked securities in the future. We also expect to issue common stock to our employees, directors and other service providers pursuant to our equity incentive plans. Such issuances will be dilutive to investors and could cause the price of our common stock to decline. New investors in such issuances could also receive rights senior to those of holders of our common stock.</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sold 6.0 million shares of common stock in the IPO and issued 294,217 shares to Micron in connection with the mandatory conversion of the senior subordinated convertible promissory note (the “Micron Note”), all of which are freely transferable without restriction or additional registration under the Securities Act of 1933, as amended, or the Securities Act.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Substantially all of the remaining 22.5 million shares of our common stock, including all shares held by our executive officers, directors and the holders of substantially all of our equity securities, were subject to lock-up agreements with the underwriters of the IPO, which have since expired. We have registered all shares of common stock that we may issue under equity compensation plans and therefore, those shares can be freely sold in the public market upon issuance, subject to volume limitations applicable to affiliates. Because the restrictions on resale under the lock-up agreements have ended, the market price of our common stock could drop significantly if the holders of those shares sell them or are perceived by the market as intending to sell them.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Other than shares which are vested as of the end of the lock-up period, we do not anticipate satisfying the anticipated tax withholding and remittance obligations as a result of vesting of restricted stock units (“RSUs”) granted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employees. In such case, applicable holders of RSUs will be able to sell shares underlying their RSUs into the open market to the extent needed to satisfy the anticipated tax withholding and remittance obligations, subject to the restrictions set forth in the lock-up agreements. The sales of shares underlying RSUs into the open market could cause the market price of our common stock to decline significantly. The market’s expectation that such sales could occur (even if they do not) could also cause the market price of our common stock to decline significantly. Any of the aforementioned declines in our stock price could occur even if our business is otherwise doing well and, as a result, you may lose all or a part of your investment. </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If securities analysts or industry analysts downgrade our common stock, publish negative research or reports, or fail to publish reports about our business, our stock price and trading volume could decline.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market price and trading market for our common stock may be influenced by the research and reports that industry or securities analysts publish about us, our business and our market. As a newly public company, the analysts who publish information about our common stock have had relatively little experience with us, which could affect their ability to accurately forecast our results and could make it more likely that we fail to meet their estimates. If one or more of the analysts covering us adversely change their recommendation regarding our stock or change their recommendation about our competitors’ stock, our stock price could decline. If one or more analysts cease coverage of us or fail to regularly publish reports on us, we could lose visibility in the financial markets, which in turn could cause our stock price or trading volume to decline or become volatile.</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have broad discretion in the use of the net proceeds to us from the IPO and may not apply the proceeds in ways that increase our market value or improve our operating results.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management has considerable discretion in the application of the net proceeds from the IPO. The net proceeds we received may be used for corporate purposes that do not increase the value of our business, which could cause our stock price to decline. The failure by our management to apply the net proceeds from the IPO effectively could impair our growth prospects and result in financial losses that could harm our business and cause the price of our common stock to decline. We used a portion of the proceeds of the IPO to repay in full (i) the 2022 Credit Line payable to Ms. Ngai-Pesic and (ii) the loan facility with East West Bank (the “East West Bank Loan”). We have placed unused net proceeds in investments that may not produce income or that lose value. Additionally, we have broad discretion in the use of the net proceeds from the IPO when determining whether to satisfy the anticipated tax withholding and remittance obligations related to vesting of RSUs granted to our employees on their behalf after settling the awards or whether to elect to allow RSU holders to sell into the open market shares underlying RSUs to the extent needed to satisfy tax obligations associated with these vested RSUs.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do not intend to pay dividends on our common stock, so any returns on your investment will be limited to changes in the value of our common stock.</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currently anticipate that we will retain future earnings for the development, operation and expansion of our business and do not anticipate declaring or paying any dividends for the foreseeable future.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any future indebtedness, other contractual restrictions and industry trends and any other factors or considerations our board of directors may regard as relevant. Any return to stockholders will therefore be limited to the increase, if any, in our stock price, which may never occur. </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amended and restated charter and bylaws designate the Court of Chancery of the State of Delaware as the sole and exclusive forum for certain types of actions and proceedings that may be initiated by our stockholders, and provide that federal district courts will be the sole and exclusive forum for Securities Act claims, which could limit our stockholders’ ability to obtain what they believe to be a favorable judicial forum for disputes with us or our directors, officers or other employees.</w:t>
      </w:r>
    </w:p>
    <w:p>
      <w:pPr>
        <w:pStyle w:val="TextBody"/>
        <w:bidi w:val="0"/>
        <w:spacing w:lineRule="auto" w:line="288" w:before="0" w:after="190"/>
        <w:jc w:val="both"/>
        <w:rPr/>
      </w:pPr>
      <w:r>
        <w:rPr>
          <w:rFonts w:ascii="Arial;sans-serif" w:hAnsi="Arial;sans-serif"/>
          <w:b w:val="false"/>
          <w:color w:val="000000"/>
          <w:sz w:val="19"/>
        </w:rPr>
        <w:t xml:space="preserve">Our charter and bylaws provide that, unless we consent in writing to the selection of an alternative forum, to the fullest extent permitted by law, the Court of Chancery of the State of Delaware (or, if that court lacks subject matter jurisdiction, another federal or state court situated in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the DGCL, our certificate of incorporation, or our bylaws, or any issue, in one or more series, of all or any of the remaining shares of preferred stock, and, in the resolution or resolutions providing for such issue; (iv) </w:t>
      </w:r>
      <w:r>
        <w:rPr>
          <w:rFonts w:ascii="Arial;sans-serif" w:hAnsi="Arial;sans-serif"/>
          <w:b w:val="false"/>
          <w:color w:val="000000"/>
          <w:sz w:val="19"/>
          <w:shd w:fill="FFFFFF" w:val="clear"/>
        </w:rPr>
        <w:t xml:space="preserve">any action to interpret, apply, enforce, or determine the validity of our certificate of incorporation or our bylaws; </w:t>
      </w:r>
      <w:r>
        <w:rPr>
          <w:rFonts w:ascii="Arial;sans-serif" w:hAnsi="Arial;sans-serif"/>
          <w:b w:val="false"/>
          <w:color w:val="000000"/>
          <w:sz w:val="19"/>
        </w:rPr>
        <w:t xml:space="preserve">or (v) any action asserting a claim against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pPr>
      <w:r>
        <w:rPr>
          <w:rFonts w:ascii="Arial;sans-serif" w:hAnsi="Arial;sans-serif"/>
          <w:b w:val="false"/>
          <w:color w:val="000000"/>
          <w:sz w:val="19"/>
        </w:rPr>
        <w:t xml:space="preserve">governed by the internal affairs doctrine. </w:t>
      </w:r>
      <w:r>
        <w:rPr>
          <w:rFonts w:ascii="Arial;sans-serif" w:hAnsi="Arial;sans-serif"/>
          <w:b w:val="false"/>
          <w:color w:val="000000"/>
          <w:sz w:val="19"/>
          <w:shd w:fill="FFFFFF" w:val="clear"/>
        </w:rPr>
        <w:t xml:space="preserve">If any such action is filed in a court other than a court located within the State of Delaware, or a Foreign Action, in the name of any stockholder, that stockholder shall be deemed to have consented to: (x) the personal jurisdiction of the state and federal courts located within the State of Delaware in connection with any action brought in any such court to enforce our choice of forum, or an Enforcement Action, and (y) having service of process made upon such stockholder in any such Enforcement Action by service upon such stockholder’s counsel in the Foreign Action as agent for such stockholder, in each case, to the fullest extent permitted by law. </w:t>
      </w:r>
      <w:r>
        <w:rPr>
          <w:rFonts w:ascii="Arial;sans-serif" w:hAnsi="Arial;sans-serif"/>
          <w:b w:val="false"/>
          <w:color w:val="000000"/>
          <w:sz w:val="19"/>
        </w:rPr>
        <w:t>Our charter and bylaws further provide that, unless we consent in writing to the selection of an alternative forum, the federal district courts are the sole and exclusive forum for the resolution of any complaint asserting a cause of action arising under the Securities Act. The choice of forum provisions does not apply to suits brought to enforce any liability or duty created by the Exchange Act or any other claim for which the federal courts have exclusive jurisdiction.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These provisions do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the federal district courts of the United States shall, to the fullest extent permitted by law, be the sole and exclusive forum for the resolutions of any complaint asserting a cause of action arising under the Securities Act, including all causes of action asserted against any defendant named in such complaint.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one or more of the choice of forum provisions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General Risk Factors and Risks Related to Being a Public Company</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 xml:space="preserve">We have experienced a material weakness in our internal control over financial reporting in the past. If we experience material weaknesses in the future or otherwise fail to maintain an effective system of internal controls in the future, we may not be able to report our financial condition or results of operations accurately or on a timely basis, prevent fraud or file our periodic reports in a timely manner and may incur additional costs to remediate, all of which may adversely affect investor confidence in us and our reported financial information and, as a result, impact the value of our common stock.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a public company, we are subject to Section 404 of the Sarbanes-Oxley Act, or Section 404, which requires that we maintain effective internal control over financial reporting and disclosure controls and procedures. Section 404(a) of the Sarbanes-Oxley Act requires that we include a management report on our internal controls, including an assessment of the effectiveness of our internal controls and financial reporting procedures, beginning with the annual report for our fiscal year ending December 31, 2025. We will also be required to comply with the auditor attestation requirements of Section 404(b) of the Sarbanes-Oxley Act, or Section 404(b), following the later of the date we are deemed to be an “accelerated filer” or a “large accelerated filer,” each as defined in the Exchange Act, or the date we are no longer an “emerging growth company,” as defined in the JOBS Act. See “—We are an “emerging growth company” and a “smaller reporting company” and any decision on our part to comply with certain reduced reporting and disclosure requirements applicable to emerging growth companies could make our common stock less attractive to investors.” In order to comply with Section 404, we must perform system and process evaluations, document our controls and perform testing of our key controls over financial reporting to allow management to report on the effectiveness of our internal control over financial reporting. Our testing will need to include the disclosure of any material weaknesses or significant deficiencies in our internal control over financial reporting identified by our management or our independent registered public accounting firm. Our testing, or the subsequent testing by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independent public accounting firm, may reveal deficiencies in our internal control over financial reporting that are deemed to be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 If we are not able to comply with the requirements of Section 404 in a timely manner, the market price of our stock would likely decline and we could be subject to lawsuits, sanctions or investigations by regulatory authorities, which would require additional financial and management resources.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have in the past identified material weaknesses in our internal control over financial reporting (“ICFR”). We may discover additional material weaknesses in our system of internal financial and accounting controls and procedures that could result in a material misstatement of our financial statements. Our ICFR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Any failure to maintain internal control over financial reporting or to identify any material weaknesses could severely inhibit our ability to timely and accurately report our financial condition, results of operations or cash flow.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implement or maintain other effective control systems required of public companies, could also adversely affect our future access to the capital markets.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we are unable to conclude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not be able to access to the capital markets, and our stock price may be materially adversely affected. Moreover, we could become subject to investigations by regulatory authorities, which could require additional financial and management resources and result in the imposition of fines or penalties.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We are an “emerging growth company” and a “smaller reporting company” and any decision on our part to comply with certain reduced reporting and disclosure requirements applicable to emerging growth companies could make our common stock less attractive to investors.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Section 107 of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will remain an emerging growth company until the earlier of (ii) the last day of the fiscal year (a) in which the fifth anniversary of the completion of the IPO, (b) in which we have total annual gross revenue of at least $1.235 billion or (c) in which we become a large accelerated filer, which means that we have been public for at least 12 months, have filed at least one annual report and the market value of our common stock that is held by non-affiliates exceeds $700.0 million as of the last day of our then-most recently completed second fiscal quarter, and (ii) the date on which we have issued more than $1.0 billion in non-convertible debt during the prior three-year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also a “smaller reporting company.” We may continue to be a smaller reporting company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 and, similar to emerging growth companies, smaller reporting companies have reduced disclosure obligations regarding executive compensation.</w:t>
      </w:r>
    </w:p>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May 13, 2024, the Company completed the IPO of an aggregate of 6,000,000 shares of Common Stock at a price to the public of $19.00 per share pursuant to a Registration Statement on Form S-1 that was declared effective on May 8, 2024 (File No. 333-278666). Jefferies LLC and TD Securities (USA) LLC acted as joint book-running managers for the IPO, Needham &amp; Company, LLC as lead manager, and Craig-Hallum Capital Group LLC and Rosenblatt Securities Inc. acted as co-managers for the IPO. The gross proceeds to the Company from the IPO were $114.0 million, with $106.0 million funded to the Company after deducting underwriting discounts and commissions.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Proceeds from the IPO have been used for general corporate purposes, including working capital, selling and marketing activities, research and product development, general and administrative matters, and capital expenditures. Additionally, proceeds were used to repay $2.0 million outstanding under the 2022 Credit Line, repay $4.3 million under the East West Bank Loan, and to pay for shares withheld from employees to satisfy the tax withholding and remittance obligations. There has been no material change in our intended use of proceeds as described in the Registration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0"/>
        <w:jc w:val="left"/>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1"/>
        <w:gridCol w:w="256"/>
        <w:gridCol w:w="257"/>
        <w:gridCol w:w="109"/>
        <w:gridCol w:w="109"/>
        <w:gridCol w:w="109"/>
        <w:gridCol w:w="2774"/>
        <w:gridCol w:w="2601"/>
        <w:gridCol w:w="3699"/>
      </w:tblGrid>
      <w:tr>
        <w:trPr/>
        <w:tc>
          <w:tcPr>
            <w:tcW w:w="2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9"/>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80"/>
                  <w:sz w:val="19"/>
                  <w:u w:val="single"/>
                </w:rPr>
                <w:t>Amended and Restated Certificate of Incorporation of Silvaco Group, Inc. (filed as Exhibit 3.1 of the Registrant's Current Report on Form 8-K filed with the Securities and Exchange Commission on May 13, 20</w:t>
              </w:r>
            </w:hyperlink>
            <w:hyperlink r:id="rId4">
              <w:r>
                <w:rPr>
                  <w:rStyle w:val="InternetLink"/>
                  <w:rFonts w:ascii="Arial;sans-serif" w:hAnsi="Arial;sans-serif"/>
                  <w:b w:val="false"/>
                  <w:color w:val="000080"/>
                  <w:sz w:val="19"/>
                  <w:u w:val="single"/>
                </w:rPr>
                <w:t>24</w:t>
              </w:r>
            </w:hyperlink>
            <w:hyperlink r:id="rId5">
              <w:r>
                <w:rPr>
                  <w:rStyle w:val="InternetLink"/>
                  <w:rFonts w:ascii="Arial;sans-serif" w:hAnsi="Arial;sans-serif"/>
                  <w:b w:val="false"/>
                  <w:color w:val="000080"/>
                  <w:sz w:val="19"/>
                  <w:u w:val="single"/>
                </w:rPr>
                <w:t>)</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9"/>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80"/>
                  <w:sz w:val="19"/>
                  <w:u w:val="single"/>
                </w:rPr>
                <w:t>Amended and Restated Bylaws of Silvaco Group, Inc. (filed as Exhibit 3.2 of</w:t>
              </w:r>
            </w:hyperlink>
            <w:hyperlink r:id="rId8">
              <w:r>
                <w:rPr>
                  <w:rStyle w:val="InternetLink"/>
                  <w:rFonts w:ascii="Arial;sans-serif" w:hAnsi="Arial;sans-serif"/>
                  <w:b w:val="false"/>
                  <w:color w:val="000080"/>
                  <w:sz w:val="19"/>
                  <w:u w:val="single"/>
                </w:rPr>
                <w:t xml:space="preserve"> the Registrant's Current Report on Form 8-K filed with the Securities and Exchange Commission on May 13, 2024)</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9"/>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9"/>
                  <w:u w:val="single"/>
                </w:rPr>
                <w:t>Asset Purchase Agreement, by and between Silvaco, Inc. and Cadence Design Systems, Inc., dated March 4, 2025 (filed as Exhibit 10.1 of the Registrant’s Current Report on Form 8-K filed with the Securities and Exchange Commission on March 4, 2025)</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510-qexhibit311.htm">
              <w:r>
                <w:rPr>
                  <w:rStyle w:val="InternetLink"/>
                  <w:rFonts w:ascii="Arial;sans-serif" w:hAnsi="Arial;sans-serif"/>
                  <w:b w:val="false"/>
                  <w:color w:val="0000FF"/>
                  <w:sz w:val="19"/>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510-qexhibit311.htm">
              <w:r>
                <w:rPr>
                  <w:rStyle w:val="InternetLink"/>
                  <w:rFonts w:ascii="Arial;sans-serif" w:hAnsi="Arial;sans-serif"/>
                  <w:b w:val="false"/>
                  <w:color w:val="0000FF"/>
                  <w:sz w:val="19"/>
                  <w:u w:val="single"/>
                </w:rPr>
                <w:t>Certification of Principal Executive and Financial Officer pursuant to Exchange Act Rules 13a-14(a) and 15d-14(a), as adopted pursuant to Section 302 of the Sarbanes-Oxley Act of 2002.</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510-qexhibit321.htm">
              <w:r>
                <w:rPr>
                  <w:rStyle w:val="InternetLink"/>
                  <w:rFonts w:ascii="Arial;sans-serif" w:hAnsi="Arial;sans-serif"/>
                  <w:b w:val="false"/>
                  <w:color w:val="0000FF"/>
                  <w:sz w:val="19"/>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510-qexhibit321.htm">
              <w:r>
                <w:rPr>
                  <w:rStyle w:val="InternetLink"/>
                  <w:rFonts w:ascii="Arial;sans-serif" w:hAnsi="Arial;sans-serif"/>
                  <w:b w:val="false"/>
                  <w:color w:val="0000FF"/>
                  <w:sz w:val="19"/>
                  <w:u w:val="single"/>
                </w:rPr>
                <w:t>Certification of Principal Executive and Financial Officer pursuant to 18 U.S.C. Section 1350, as adopted pursuant to Section 906 of the Sarbanes-Oxley Act of 2002.</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XBRL Instance Document – the instance document does not appear in the Interactive Data File because its XBRL tags are embedded within the Inline XBRL document.</w:t>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Schema Document.</w:t>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Calculation Linkbase Document.</w:t>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Definition Linkbase Document.</w:t>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Label Linkbase Document.</w:t>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Presentation Linkbase Document.</w:t>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Cover Page Interactive Data File (formatted as inline XBRL with applicable taxonomy extension information contained in Exhibits 101).</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Filed herewith.</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The certification attached as Exhibit 32.1 accompanying this Quarterly Report on Form 10-Q, is deemed furnished and not filed with the Securities and Exchange Commission and is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0" w:after="19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b25ceb08619c43f3b1eb8feeec269e0d_7">
        <w:r>
          <w:rPr>
            <w:rStyle w:val="InternetLink"/>
            <w:rFonts w:ascii="Arial;sans-serif" w:hAnsi="Arial;sans-serif"/>
            <w:b w:val="false"/>
            <w:color w:val="0000FF"/>
            <w:sz w:val="19"/>
            <w:u w:val="single"/>
          </w:rPr>
          <w:t>Table of Contents</w:t>
        </w:r>
      </w:hyperlink>
    </w:p>
    <w:p>
      <w:pPr>
        <w:pStyle w:val="TextBody"/>
        <w:bidi w:val="0"/>
        <w:spacing w:lineRule="auto" w:line="288" w:before="0" w:after="36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Pursuant to the requirements of the Securities Act of 1933, as amended, the registrant has duly caused this report to be signed on its behalf by the undersigned, thereunto duly authorized, in the City of Santa Clara, State of California, on May 7, 2025.</w:t>
      </w:r>
    </w:p>
    <w:tbl>
      <w:tblPr>
        <w:tblW w:w="5355" w:type="dxa"/>
        <w:jc w:val="left"/>
        <w:tblInd w:w="0" w:type="dxa"/>
        <w:tblLayout w:type="fixed"/>
        <w:tblCellMar>
          <w:top w:w="28" w:type="dxa"/>
          <w:left w:w="28" w:type="dxa"/>
          <w:bottom w:w="28" w:type="dxa"/>
          <w:right w:w="28" w:type="dxa"/>
        </w:tblCellMar>
      </w:tblPr>
      <w:tblGrid>
        <w:gridCol w:w="1715"/>
        <w:gridCol w:w="1504"/>
        <w:gridCol w:w="2136"/>
      </w:tblGrid>
      <w:tr>
        <w:trPr/>
        <w:tc>
          <w:tcPr>
            <w:tcW w:w="1715"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rPr>
            </w:pPr>
            <w:r>
              <w:rPr>
                <w:rFonts w:ascii="Arial;sans-serif" w:hAnsi="Arial;sans-serif"/>
                <w:b w:val="false"/>
                <w:color w:val="000000"/>
                <w:sz w:val="19"/>
              </w:rPr>
              <w:t>SILVACO GROUP, INC.</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9"/>
              </w:rPr>
            </w:pPr>
            <w:r>
              <w:rPr>
                <w:rFonts w:ascii="Arial;sans-serif" w:hAnsi="Arial;sans-serif"/>
                <w:b w:val="false"/>
                <w:color w:val="000000"/>
                <w:sz w:val="19"/>
              </w:rPr>
              <w:t>/s/ Babak A. Taheri</w:t>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90"/>
              <w:jc w:val="left"/>
              <w:rPr>
                <w:rFonts w:ascii="Arial;sans-serif" w:hAnsi="Arial;sans-serif"/>
                <w:b w:val="false"/>
                <w:color w:val="000000"/>
                <w:sz w:val="19"/>
              </w:rPr>
            </w:pPr>
            <w:r>
              <w:rPr>
                <w:rFonts w:ascii="Arial;sans-serif" w:hAnsi="Arial;sans-serif"/>
                <w:b w:val="false"/>
                <w:color w:val="000000"/>
                <w:sz w:val="19"/>
              </w:rPr>
              <w:t>Name: Dr. Babak A. Taheri</w:t>
            </w:r>
          </w:p>
        </w:tc>
      </w:tr>
      <w:tr>
        <w:trPr/>
        <w:tc>
          <w:tcPr>
            <w:tcW w:w="5355" w:type="dxa"/>
            <w:gridSpan w:val="3"/>
            <w:tcBorders/>
            <w:tcMar>
              <w:top w:w="0" w:type="dxa"/>
              <w:left w:w="0" w:type="dxa"/>
              <w:bottom w:w="0" w:type="dxa"/>
              <w:right w:w="0" w:type="dxa"/>
            </w:tcMar>
            <w:vAlign w:val="center"/>
          </w:tcPr>
          <w:p>
            <w:pPr>
              <w:pStyle w:val="TableContents"/>
              <w:bidi w:val="0"/>
              <w:spacing w:lineRule="auto" w:line="288" w:before="0" w:after="190"/>
              <w:jc w:val="left"/>
              <w:rPr>
                <w:rFonts w:ascii="Arial;sans-serif" w:hAnsi="Arial;sans-serif"/>
                <w:b w:val="false"/>
                <w:color w:val="000000"/>
                <w:sz w:val="19"/>
              </w:rPr>
            </w:pPr>
            <w:r>
              <w:rPr>
                <w:rFonts w:ascii="Arial;sans-serif" w:hAnsi="Arial;sans-serif"/>
                <w:b w:val="false"/>
                <w:color w:val="000000"/>
                <w:sz w:val="19"/>
              </w:rPr>
              <w:t>Title: Chief Executive Officer and Principal Financial Officer</w:t>
            </w:r>
          </w:p>
        </w:tc>
      </w:tr>
    </w:tbl>
    <w:p>
      <w:pPr>
        <w:pStyle w:val="TextBody"/>
        <w:bidi w:val="0"/>
        <w:spacing w:before="0" w:after="19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180" w:after="283"/>
        <w:jc w:val="right"/>
        <w:rPr>
          <w:rFonts w:ascii="Helvetica;sans-serif" w:hAnsi="Helvetica;sans-serif"/>
          <w:b/>
          <w:color w:val="000000"/>
          <w:sz w:val="18"/>
        </w:rPr>
      </w:pPr>
      <w:r>
        <w:rPr>
          <w:rFonts w:ascii="Helvetica;sans-serif" w:hAnsi="Helvetica;sans-serif"/>
          <w:b/>
          <w:color w:val="000000"/>
          <w:sz w:val="18"/>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180" w:after="283"/>
        <w:jc w:val="left"/>
        <w:rPr/>
      </w:pPr>
      <w:r>
        <w:rPr>
          <w:rFonts w:ascii="Helvetica;sans-serif" w:hAnsi="Helvetica;sans-serif"/>
          <w:b w:val="false"/>
          <w:color w:val="000000"/>
          <w:sz w:val="18"/>
        </w:rPr>
        <w:t xml:space="preserve">I, Dr. </w:t>
      </w:r>
      <w:r>
        <w:rPr>
          <w:rFonts w:ascii="Arial;sans-serif" w:hAnsi="Arial;sans-serif"/>
          <w:b w:val="false"/>
          <w:color w:val="000000"/>
          <w:sz w:val="18"/>
        </w:rPr>
        <w:t>Babak A. Taheri</w:t>
      </w:r>
      <w:r>
        <w:rPr>
          <w:rFonts w:ascii="Helvetica;sans-serif" w:hAnsi="Helvetica;sans-serif"/>
          <w:b w:val="false"/>
          <w:color w:val="000000"/>
          <w:sz w:val="18"/>
        </w:rPr>
        <w:t>, certify that: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1.I have reviewed this Quarterly Report on Form 10-Q of Silvaco Group, Inc;</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b.Any fraud, whether or not material, that involves management or other employees who have a significant role in the registrant’s internal control over financial reporting.</w:t>
      </w:r>
    </w:p>
    <w:tbl>
      <w:tblPr>
        <w:tblW w:w="5186"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1314"/>
        <w:gridCol w:w="1314"/>
        <w:gridCol w:w="18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Helvetica;sans-serif" w:hAnsi="Helvetica;sans-serif"/>
                <w:b w:val="false"/>
                <w:color w:val="000000"/>
                <w:sz w:val="18"/>
              </w:rPr>
            </w:pPr>
            <w:r>
              <w:rPr>
                <w:rFonts w:ascii="Helvetica;sans-serif" w:hAnsi="Helvetica;sans-serif"/>
                <w:b w:val="false"/>
                <w:color w:val="000000"/>
                <w:sz w:val="18"/>
              </w:rPr>
              <w:t>By:</w:t>
            </w:r>
          </w:p>
        </w:tc>
        <w:tc>
          <w:tcPr>
            <w:tcW w:w="448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/s/ </w:t>
            </w:r>
            <w:r>
              <w:rPr>
                <w:rFonts w:ascii="Arial;sans-serif" w:hAnsi="Arial;sans-serif"/>
                <w:b w:val="false"/>
                <w:color w:val="000000"/>
                <w:sz w:val="18"/>
              </w:rPr>
              <w:t>Babak A. Taheri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Dr. Babak A. Taheri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Helvetica;sans-serif" w:hAnsi="Helvetica;sans-serif"/>
                <w:b w:val="false"/>
                <w:i/>
                <w:color w:val="000000"/>
                <w:sz w:val="18"/>
              </w:rPr>
            </w:pPr>
            <w:r>
              <w:rPr>
                <w:rFonts w:ascii="Helvetica;sans-serif" w:hAnsi="Helvetica;sans-serif"/>
                <w:b w:val="false"/>
                <w:i/>
                <w:color w:val="000000"/>
                <w:sz w:val="18"/>
              </w:rPr>
              <w:t>Chief Executive Officer and Principal Financial Officer</w:t>
            </w:r>
          </w:p>
        </w:tc>
      </w:tr>
    </w:tbl>
    <w:p>
      <w:pPr>
        <w:pStyle w:val="TextBody"/>
        <w:bidi w:val="0"/>
        <w:spacing w:lineRule="auto" w:line="288"/>
        <w:jc w:val="both"/>
        <w:rPr>
          <w:rFonts w:ascii="Helvetica;sans-serif" w:hAnsi="Helvetica;sans-serif"/>
          <w:b w:val="false"/>
          <w:color w:val="000000"/>
          <w:sz w:val="18"/>
        </w:rPr>
      </w:pPr>
      <w:r>
        <w:rPr>
          <w:rFonts w:ascii="Helvetica;sans-serif" w:hAnsi="Helvetica;sans-serif"/>
          <w:b w:val="false"/>
          <w:color w:val="000000"/>
          <w:sz w:val="18"/>
        </w:rPr>
        <w:t>Date: May 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13a-14(b) OR RULE 15d-14(b)</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 AND 18 U.S.C. SECTION 1350</w:t>
      </w:r>
    </w:p>
    <w:p>
      <w:pPr>
        <w:pStyle w:val="TextBody"/>
        <w:bidi w:val="0"/>
        <w:spacing w:lineRule="auto" w:line="288" w:before="360" w:after="283"/>
        <w:jc w:val="both"/>
        <w:rPr/>
      </w:pPr>
      <w:r>
        <w:rPr>
          <w:rFonts w:ascii="Helvetica;sans-serif" w:hAnsi="Helvetica;sans-serif"/>
          <w:b w:val="false"/>
          <w:color w:val="000000"/>
          <w:sz w:val="18"/>
        </w:rPr>
        <w:t xml:space="preserve">I, Dr. </w:t>
      </w:r>
      <w:r>
        <w:rPr>
          <w:rFonts w:ascii="Arial;sans-serif" w:hAnsi="Arial;sans-serif"/>
          <w:b w:val="false"/>
          <w:color w:val="000000"/>
          <w:sz w:val="18"/>
        </w:rPr>
        <w:t>Babak A. Taheri</w:t>
      </w:r>
      <w:r>
        <w:rPr>
          <w:rFonts w:ascii="Helvetica;sans-serif" w:hAnsi="Helvetica;sans-serif"/>
          <w:b w:val="false"/>
          <w:color w:val="000000"/>
          <w:sz w:val="18"/>
        </w:rPr>
        <w:t>, Chief Executive Officer and Principal Financial Officer of Silvaco Group Inc. (the “Company”), do hereby certify, pursuant to 18 U.S.C. Section 1350, as adopted pursuant to Section 906 of the Sarbanes-Oxley Act of 2002, that to the best of my knowledge:</w:t>
      </w:r>
    </w:p>
    <w:p>
      <w:pPr>
        <w:pStyle w:val="TextBody"/>
        <w:bidi w:val="0"/>
        <w:spacing w:lineRule="auto" w:line="288" w:before="180" w:after="283"/>
        <w:ind w:left="0" w:right="0" w:hanging="360"/>
        <w:jc w:val="both"/>
        <w:rPr/>
      </w:pPr>
      <w:r>
        <w:rPr>
          <w:color w:val="000000"/>
        </w:rPr>
        <w:t>•</w:t>
      </w:r>
      <w:r>
        <w:rPr>
          <w:rFonts w:ascii="Helvetica;sans-serif" w:hAnsi="Helvetica;sans-serif"/>
          <w:b w:val="false"/>
          <w:color w:val="000000"/>
          <w:sz w:val="18"/>
        </w:rPr>
        <w:t>the Quarterly Report on Form 10-Q of the Company for the quarter ended March 31, 2025 (the “Report”) fully complies with the requirements of Section 13(a) or 15(d) of the Securities Exchange Act of 1934; and</w:t>
      </w:r>
    </w:p>
    <w:p>
      <w:pPr>
        <w:pStyle w:val="TextBody"/>
        <w:bidi w:val="0"/>
        <w:spacing w:lineRule="auto" w:line="288" w:before="180" w:after="283"/>
        <w:ind w:left="0" w:right="0" w:hanging="360"/>
        <w:jc w:val="both"/>
        <w:rPr/>
      </w:pPr>
      <w:r>
        <w:rPr>
          <w:color w:val="000000"/>
        </w:rPr>
        <w:t>•</w:t>
      </w:r>
      <w:r>
        <w:rPr>
          <w:rFonts w:ascii="Helvetica;sans-serif" w:hAnsi="Helvetica;sans-serif"/>
          <w:b w:val="false"/>
          <w:color w:val="000000"/>
          <w:sz w:val="18"/>
        </w:rPr>
        <w:t>the information contained in the Report fairly presents, in all material respects, the financial condition and results of operations of the Company for the periods presented therein.</w:t>
      </w:r>
    </w:p>
    <w:tbl>
      <w:tblPr>
        <w:tblW w:w="5186"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1314"/>
        <w:gridCol w:w="1314"/>
        <w:gridCol w:w="18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448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18"/>
              </w:rPr>
              <w:t>/s/ </w:t>
            </w:r>
            <w:r>
              <w:rPr>
                <w:rFonts w:ascii="Arial;sans-serif" w:hAnsi="Arial;sans-serif"/>
                <w:b w:val="false"/>
                <w:color w:val="000000"/>
                <w:sz w:val="18"/>
              </w:rPr>
              <w:t>Babak A. Taheri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 Babak A. Taheri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Chief Executive Officer and Principal Financial Officer</w:t>
            </w:r>
          </w:p>
        </w:tc>
      </w:tr>
    </w:tbl>
    <w:p>
      <w:pPr>
        <w:pStyle w:val="TextBody"/>
        <w:bidi w:val="0"/>
        <w:spacing w:lineRule="auto" w:line="288"/>
        <w:jc w:val="both"/>
        <w:rPr>
          <w:rFonts w:ascii="Helvetica;sans-serif" w:hAnsi="Helvetica;sans-serif"/>
          <w:b w:val="false"/>
          <w:color w:val="000000"/>
          <w:sz w:val="18"/>
        </w:rPr>
      </w:pPr>
      <w:r>
        <w:rPr>
          <w:rFonts w:ascii="Helvetica;sans-serif" w:hAnsi="Helvetica;sans-serif"/>
          <w:b w:val="false"/>
          <w:color w:val="000000"/>
          <w:sz w:val="18"/>
        </w:rPr>
        <w:t>Date: May 7, 2025</w:t>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Helvetica">
    <w:altName w:val="Arial"/>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43289/000162828024022867/exhibit31-closing8xk.htm" TargetMode="External"/><Relationship Id="rId3" Type="http://schemas.openxmlformats.org/officeDocument/2006/relationships/hyperlink" Target="https://www.sec.gov/Archives/edgar/data/1943289/000162828024022867/exhibit31-closing8xk.htm" TargetMode="External"/><Relationship Id="rId4" Type="http://schemas.openxmlformats.org/officeDocument/2006/relationships/hyperlink" Target="https://www.sec.gov/Archives/edgar/data/1943289/000162828024022867/exhibit31-closing8xk.htm" TargetMode="External"/><Relationship Id="rId5" Type="http://schemas.openxmlformats.org/officeDocument/2006/relationships/hyperlink" Target="https://www.sec.gov/Archives/edgar/data/1943289/000162828024022867/exhibit31-closing8xk.htm" TargetMode="External"/><Relationship Id="rId6" Type="http://schemas.openxmlformats.org/officeDocument/2006/relationships/hyperlink" Target="https://www.sec.gov/Archives/edgar/data/1943289/000162828024022867/exhibit32-closing8xk.htm" TargetMode="External"/><Relationship Id="rId7" Type="http://schemas.openxmlformats.org/officeDocument/2006/relationships/hyperlink" Target="https://www.sec.gov/Archives/edgar/data/1943289/000162828024022867/exhibit32-closing8xk.htm" TargetMode="External"/><Relationship Id="rId8" Type="http://schemas.openxmlformats.org/officeDocument/2006/relationships/hyperlink" Target="https://www.sec.gov/Archives/edgar/data/1943289/000162828024022867/exhibit32-closing8xk.htm" TargetMode="External"/><Relationship Id="rId9" Type="http://schemas.openxmlformats.org/officeDocument/2006/relationships/hyperlink" Target="https://www.sec.gov/Archives/edgar/data/1943289/000162828025009948/cadence-parallaxxassetpurc.htm" TargetMode="External"/><Relationship Id="rId10" Type="http://schemas.openxmlformats.org/officeDocument/2006/relationships/hyperlink" Target="https://www.sec.gov/Archives/edgar/data/1943289/000162828025009948/cadence-parallaxxassetpurc.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44075</Words>
  <Characters>247246</Characters>
  <CharactersWithSpaces>290111</CharactersWithSpaces>
  <Paragraphs>1957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