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297055-424b5_silvaco.htm"/>
      <w:bookmarkStart w:id="1" w:name="ksea0297055424b5_silvaco"/>
      <w:bookmarkEnd w:id="0"/>
      <w:bookmarkEnd w:id="1"/>
      <w:r>
        <w:rPr>
          <w:b/>
        </w:rPr>
        <w:t>Filed Pursuant to Rule 424(b)(5)</w:t>
        <w:br/>
        <w:t>Registration No. 333-291212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November 21, 2025)</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0574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7715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69,062 shares of Common Stock</w:t>
      </w:r>
    </w:p>
    <w:p>
      <w:pPr>
        <w:pStyle w:val="TextBody"/>
        <w:bidi w:val="0"/>
        <w:jc w:val="center"/>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we are offering 69,062 shares of our common stock, par value $0.0001 per share, to John Cary, a former equity holder of Tech-X Corporation (“Tech-X”), as part of the consideration for our acquisition of Tech-X (the “Tech-X Acquisition”). The shares are being issued in connection with the Tech-X Acquisition as (a) contingent earnout consideration upon the achievement of certain developmental milestones and (b) a portion of the additional purchase consideration as a result of the post-closing adjustments, in each case in lieu of cash. See “Prospectus Supplement Summary—Tech-X Acquisition” for further information.</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(“Nasdaq”) under the symbol “SVCO.” On July 2, 2026 the last reported sale price of our common stock on Nasdaq was $11.10 per share.</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is being offered directly to each purchaser without a placement agent or underwriter. We are not paying underwriting discounts or commissions in connection with this offering. We will not receive any cash proceeds from this offering.</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See “Risk Factors” on page S-4 of this prospectus supplement and under similar headings in the documents incorporated by reference into this prospectus supplement and the accompanying prospectus. </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in this offering is expected to be made on or about July 6,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6, 2026.</w:t>
      </w:r>
    </w:p>
    <w:p>
      <w:pPr>
        <w:pStyle w:val="TextBody"/>
        <w:bidi w:val="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5765"/>
        <w:gridCol w:w="455"/>
      </w:tblGrid>
      <w:tr>
        <w:trPr/>
        <w:tc>
          <w:tcPr>
            <w:tcW w:w="5765"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576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ind w:left="0" w:right="0" w:hanging="147"/>
              <w:jc w:val="center"/>
              <w:rPr/>
            </w:pPr>
            <w:r>
              <w:rPr/>
              <w:t> </w:t>
            </w:r>
          </w:p>
        </w:tc>
      </w:tr>
      <w:tr>
        <w:trPr/>
        <w:tc>
          <w:tcPr>
            <w:tcW w:w="5765" w:type="dxa"/>
            <w:tcBorders/>
            <w:shd w:fill="CCEEFF" w:val="clear"/>
            <w:vAlign w:val="center"/>
          </w:tcPr>
          <w:p>
            <w:pPr>
              <w:pStyle w:val="TableContents"/>
              <w:bidi w:val="0"/>
              <w:spacing w:before="0" w:after="283"/>
              <w:jc w:val="left"/>
              <w:rPr/>
            </w:pPr>
            <w:hyperlink w:anchor="KSA_001">
              <w:r>
                <w:rPr>
                  <w:rStyle w:val="InternetLink"/>
                  <w:sz w:val="20"/>
                </w:rPr>
                <w:t>ABOUT THIS PROSPECTUS SUPPLEMENT</w:t>
              </w:r>
            </w:hyperlink>
          </w:p>
        </w:tc>
        <w:tc>
          <w:tcPr>
            <w:tcW w:w="455" w:type="dxa"/>
            <w:tcBorders/>
            <w:shd w:fill="CCEEFF" w:val="clear"/>
            <w:vAlign w:val="center"/>
          </w:tcPr>
          <w:p>
            <w:pPr>
              <w:pStyle w:val="TableContents"/>
              <w:bidi w:val="0"/>
              <w:spacing w:before="0" w:after="283"/>
              <w:ind w:left="0" w:right="0" w:hanging="147"/>
              <w:jc w:val="center"/>
              <w:rPr>
                <w:sz w:val="20"/>
              </w:rPr>
            </w:pPr>
            <w:r>
              <w:rPr>
                <w:sz w:val="20"/>
              </w:rPr>
              <w:t>S-ii</w:t>
            </w:r>
          </w:p>
        </w:tc>
      </w:tr>
      <w:tr>
        <w:trPr/>
        <w:tc>
          <w:tcPr>
            <w:tcW w:w="5765" w:type="dxa"/>
            <w:tcBorders/>
            <w:shd w:fill="FFFFFF" w:val="clear"/>
            <w:vAlign w:val="center"/>
          </w:tcPr>
          <w:p>
            <w:pPr>
              <w:pStyle w:val="TableContents"/>
              <w:bidi w:val="0"/>
              <w:spacing w:before="0" w:after="283"/>
              <w:jc w:val="left"/>
              <w:rPr/>
            </w:pPr>
            <w:hyperlink w:anchor="KSA_002">
              <w:r>
                <w:rPr>
                  <w:rStyle w:val="InternetLink"/>
                  <w:sz w:val="20"/>
                </w:rPr>
                <w:t>SPECIAL NOTE REGARDING FORWARD-LOOKING STATEMENTS</w:t>
              </w:r>
            </w:hyperlink>
          </w:p>
        </w:tc>
        <w:tc>
          <w:tcPr>
            <w:tcW w:w="455" w:type="dxa"/>
            <w:tcBorders/>
            <w:shd w:fill="FFFFFF" w:val="clear"/>
            <w:vAlign w:val="center"/>
          </w:tcPr>
          <w:p>
            <w:pPr>
              <w:pStyle w:val="TableContents"/>
              <w:bidi w:val="0"/>
              <w:spacing w:before="0" w:after="283"/>
              <w:ind w:left="0" w:right="0" w:hanging="147"/>
              <w:jc w:val="center"/>
              <w:rPr>
                <w:sz w:val="20"/>
              </w:rPr>
            </w:pPr>
            <w:r>
              <w:rPr>
                <w:sz w:val="20"/>
              </w:rPr>
              <w:t>S-iv</w:t>
            </w:r>
          </w:p>
        </w:tc>
      </w:tr>
      <w:tr>
        <w:trPr/>
        <w:tc>
          <w:tcPr>
            <w:tcW w:w="5765" w:type="dxa"/>
            <w:tcBorders/>
            <w:shd w:fill="CCEEFF" w:val="clear"/>
            <w:vAlign w:val="center"/>
          </w:tcPr>
          <w:p>
            <w:pPr>
              <w:pStyle w:val="TableContents"/>
              <w:bidi w:val="0"/>
              <w:spacing w:before="0" w:after="283"/>
              <w:jc w:val="left"/>
              <w:rPr/>
            </w:pPr>
            <w:hyperlink w:anchor="KSA_003">
              <w:r>
                <w:rPr>
                  <w:rStyle w:val="InternetLink"/>
                  <w:sz w:val="20"/>
                </w:rPr>
                <w:t>PROSPECTUS SUPPLEMENT SUMMARY</w:t>
              </w:r>
            </w:hyperlink>
          </w:p>
        </w:tc>
        <w:tc>
          <w:tcPr>
            <w:tcW w:w="455" w:type="dxa"/>
            <w:tcBorders/>
            <w:shd w:fill="CCEEFF" w:val="clear"/>
            <w:vAlign w:val="center"/>
          </w:tcPr>
          <w:p>
            <w:pPr>
              <w:pStyle w:val="TableContents"/>
              <w:bidi w:val="0"/>
              <w:spacing w:before="0" w:after="283"/>
              <w:ind w:left="0" w:right="0" w:hanging="147"/>
              <w:jc w:val="center"/>
              <w:rPr>
                <w:sz w:val="20"/>
              </w:rPr>
            </w:pPr>
            <w:r>
              <w:rPr>
                <w:sz w:val="20"/>
              </w:rPr>
              <w:t>S-1</w:t>
            </w:r>
          </w:p>
        </w:tc>
      </w:tr>
      <w:tr>
        <w:trPr/>
        <w:tc>
          <w:tcPr>
            <w:tcW w:w="5765" w:type="dxa"/>
            <w:tcBorders/>
            <w:shd w:fill="FFFFFF" w:val="clear"/>
            <w:vAlign w:val="center"/>
          </w:tcPr>
          <w:p>
            <w:pPr>
              <w:pStyle w:val="TableContents"/>
              <w:bidi w:val="0"/>
              <w:spacing w:before="0" w:after="283"/>
              <w:jc w:val="left"/>
              <w:rPr/>
            </w:pPr>
            <w:hyperlink w:anchor="KSA_020">
              <w:r>
                <w:rPr>
                  <w:rStyle w:val="InternetLink"/>
                  <w:sz w:val="20"/>
                </w:rPr>
                <w:t>THE OFFERING</w:t>
              </w:r>
            </w:hyperlink>
          </w:p>
        </w:tc>
        <w:tc>
          <w:tcPr>
            <w:tcW w:w="455" w:type="dxa"/>
            <w:tcBorders/>
            <w:shd w:fill="FFFFFF" w:val="clear"/>
            <w:vAlign w:val="center"/>
          </w:tcPr>
          <w:p>
            <w:pPr>
              <w:pStyle w:val="TableContents"/>
              <w:bidi w:val="0"/>
              <w:spacing w:before="0" w:after="283"/>
              <w:ind w:left="0" w:right="0" w:hanging="147"/>
              <w:jc w:val="center"/>
              <w:rPr>
                <w:sz w:val="20"/>
              </w:rPr>
            </w:pPr>
            <w:r>
              <w:rPr>
                <w:sz w:val="20"/>
              </w:rPr>
              <w:t>S-3</w:t>
            </w:r>
          </w:p>
        </w:tc>
      </w:tr>
      <w:tr>
        <w:trPr/>
        <w:tc>
          <w:tcPr>
            <w:tcW w:w="5765" w:type="dxa"/>
            <w:tcBorders/>
            <w:shd w:fill="CCEEFF" w:val="clear"/>
            <w:vAlign w:val="center"/>
          </w:tcPr>
          <w:p>
            <w:pPr>
              <w:pStyle w:val="TableContents"/>
              <w:bidi w:val="0"/>
              <w:spacing w:before="0" w:after="283"/>
              <w:jc w:val="left"/>
              <w:rPr/>
            </w:pPr>
            <w:hyperlink w:anchor="KSA_004">
              <w:r>
                <w:rPr>
                  <w:rStyle w:val="InternetLink"/>
                  <w:sz w:val="20"/>
                </w:rPr>
                <w:t>RISK FACTORS</w:t>
              </w:r>
            </w:hyperlink>
          </w:p>
        </w:tc>
        <w:tc>
          <w:tcPr>
            <w:tcW w:w="455" w:type="dxa"/>
            <w:tcBorders/>
            <w:shd w:fill="CCEEFF" w:val="clear"/>
            <w:vAlign w:val="center"/>
          </w:tcPr>
          <w:p>
            <w:pPr>
              <w:pStyle w:val="TableContents"/>
              <w:bidi w:val="0"/>
              <w:spacing w:before="0" w:after="283"/>
              <w:ind w:left="0" w:right="0" w:hanging="147"/>
              <w:jc w:val="center"/>
              <w:rPr>
                <w:sz w:val="20"/>
              </w:rPr>
            </w:pPr>
            <w:r>
              <w:rPr>
                <w:sz w:val="20"/>
              </w:rPr>
              <w:t>S-4</w:t>
            </w:r>
          </w:p>
        </w:tc>
      </w:tr>
      <w:tr>
        <w:trPr/>
        <w:tc>
          <w:tcPr>
            <w:tcW w:w="5765" w:type="dxa"/>
            <w:tcBorders/>
            <w:shd w:fill="FFFFFF" w:val="clear"/>
            <w:vAlign w:val="center"/>
          </w:tcPr>
          <w:p>
            <w:pPr>
              <w:pStyle w:val="TableContents"/>
              <w:bidi w:val="0"/>
              <w:spacing w:before="0" w:after="283"/>
              <w:jc w:val="left"/>
              <w:rPr/>
            </w:pPr>
            <w:hyperlink w:anchor="KSA_005">
              <w:r>
                <w:rPr>
                  <w:rStyle w:val="InternetLink"/>
                  <w:sz w:val="20"/>
                </w:rPr>
                <w:t>USE OF PROCEEDS</w:t>
              </w:r>
            </w:hyperlink>
          </w:p>
        </w:tc>
        <w:tc>
          <w:tcPr>
            <w:tcW w:w="455" w:type="dxa"/>
            <w:tcBorders/>
            <w:shd w:fill="FFFFFF" w:val="clear"/>
            <w:vAlign w:val="center"/>
          </w:tcPr>
          <w:p>
            <w:pPr>
              <w:pStyle w:val="TableContents"/>
              <w:bidi w:val="0"/>
              <w:spacing w:before="0" w:after="283"/>
              <w:ind w:left="0" w:right="0" w:hanging="147"/>
              <w:jc w:val="center"/>
              <w:rPr>
                <w:sz w:val="20"/>
              </w:rPr>
            </w:pPr>
            <w:r>
              <w:rPr>
                <w:sz w:val="20"/>
              </w:rPr>
              <w:t>S-5</w:t>
            </w:r>
          </w:p>
        </w:tc>
      </w:tr>
      <w:tr>
        <w:trPr/>
        <w:tc>
          <w:tcPr>
            <w:tcW w:w="5765" w:type="dxa"/>
            <w:tcBorders/>
            <w:shd w:fill="CCEEFF" w:val="clear"/>
            <w:vAlign w:val="center"/>
          </w:tcPr>
          <w:p>
            <w:pPr>
              <w:pStyle w:val="TableContents"/>
              <w:bidi w:val="0"/>
              <w:spacing w:before="0" w:after="283"/>
              <w:jc w:val="left"/>
              <w:rPr/>
            </w:pPr>
            <w:hyperlink w:anchor="KSA_006">
              <w:r>
                <w:rPr>
                  <w:rStyle w:val="InternetLink"/>
                  <w:sz w:val="20"/>
                </w:rPr>
                <w:t>DILUTION</w:t>
              </w:r>
            </w:hyperlink>
          </w:p>
        </w:tc>
        <w:tc>
          <w:tcPr>
            <w:tcW w:w="455" w:type="dxa"/>
            <w:tcBorders/>
            <w:shd w:fill="CCEEFF" w:val="clear"/>
            <w:vAlign w:val="center"/>
          </w:tcPr>
          <w:p>
            <w:pPr>
              <w:pStyle w:val="TableContents"/>
              <w:bidi w:val="0"/>
              <w:spacing w:before="0" w:after="283"/>
              <w:ind w:left="0" w:right="0" w:hanging="147"/>
              <w:jc w:val="center"/>
              <w:rPr>
                <w:sz w:val="20"/>
              </w:rPr>
            </w:pPr>
            <w:r>
              <w:rPr>
                <w:sz w:val="20"/>
              </w:rPr>
              <w:t>S-6</w:t>
            </w:r>
          </w:p>
        </w:tc>
      </w:tr>
      <w:tr>
        <w:trPr/>
        <w:tc>
          <w:tcPr>
            <w:tcW w:w="5765" w:type="dxa"/>
            <w:tcBorders/>
            <w:shd w:fill="FFFFFF" w:val="clear"/>
            <w:vAlign w:val="center"/>
          </w:tcPr>
          <w:p>
            <w:pPr>
              <w:pStyle w:val="TableContents"/>
              <w:bidi w:val="0"/>
              <w:spacing w:before="0" w:after="283"/>
              <w:jc w:val="left"/>
              <w:rPr/>
            </w:pPr>
            <w:hyperlink w:anchor="KSA_021">
              <w:r>
                <w:rPr>
                  <w:rStyle w:val="InternetLink"/>
                  <w:sz w:val="20"/>
                </w:rPr>
                <w:t>PLAN OF DISTRIBUTION</w:t>
              </w:r>
            </w:hyperlink>
          </w:p>
        </w:tc>
        <w:tc>
          <w:tcPr>
            <w:tcW w:w="455" w:type="dxa"/>
            <w:tcBorders/>
            <w:shd w:fill="FFFFFF" w:val="clear"/>
            <w:vAlign w:val="center"/>
          </w:tcPr>
          <w:p>
            <w:pPr>
              <w:pStyle w:val="TableContents"/>
              <w:bidi w:val="0"/>
              <w:spacing w:before="0" w:after="283"/>
              <w:ind w:left="0" w:right="0" w:hanging="147"/>
              <w:jc w:val="center"/>
              <w:rPr>
                <w:sz w:val="20"/>
              </w:rPr>
            </w:pPr>
            <w:r>
              <w:rPr>
                <w:sz w:val="20"/>
              </w:rPr>
              <w:t>S-7</w:t>
            </w:r>
          </w:p>
        </w:tc>
      </w:tr>
      <w:tr>
        <w:trPr/>
        <w:tc>
          <w:tcPr>
            <w:tcW w:w="5765" w:type="dxa"/>
            <w:tcBorders/>
            <w:shd w:fill="CCEEFF" w:val="clear"/>
            <w:vAlign w:val="center"/>
          </w:tcPr>
          <w:p>
            <w:pPr>
              <w:pStyle w:val="TableContents"/>
              <w:bidi w:val="0"/>
              <w:spacing w:before="0" w:after="283"/>
              <w:jc w:val="left"/>
              <w:rPr/>
            </w:pPr>
            <w:hyperlink w:anchor="KSA_022">
              <w:r>
                <w:rPr>
                  <w:rStyle w:val="InternetLink"/>
                  <w:sz w:val="20"/>
                </w:rPr>
                <w:t>LEGAL MATTERS</w:t>
              </w:r>
            </w:hyperlink>
          </w:p>
        </w:tc>
        <w:tc>
          <w:tcPr>
            <w:tcW w:w="455" w:type="dxa"/>
            <w:tcBorders/>
            <w:shd w:fill="CCEEFF" w:val="clear"/>
            <w:vAlign w:val="center"/>
          </w:tcPr>
          <w:p>
            <w:pPr>
              <w:pStyle w:val="TableContents"/>
              <w:bidi w:val="0"/>
              <w:spacing w:before="0" w:after="283"/>
              <w:ind w:left="0" w:right="0" w:hanging="147"/>
              <w:jc w:val="center"/>
              <w:rPr>
                <w:sz w:val="20"/>
              </w:rPr>
            </w:pPr>
            <w:r>
              <w:rPr>
                <w:sz w:val="20"/>
              </w:rPr>
              <w:t>S-8</w:t>
            </w:r>
          </w:p>
        </w:tc>
      </w:tr>
      <w:tr>
        <w:trPr/>
        <w:tc>
          <w:tcPr>
            <w:tcW w:w="5765" w:type="dxa"/>
            <w:tcBorders/>
            <w:shd w:fill="FFFFFF" w:val="clear"/>
            <w:vAlign w:val="center"/>
          </w:tcPr>
          <w:p>
            <w:pPr>
              <w:pStyle w:val="TableContents"/>
              <w:bidi w:val="0"/>
              <w:spacing w:before="0" w:after="283"/>
              <w:jc w:val="left"/>
              <w:rPr/>
            </w:pPr>
            <w:hyperlink w:anchor="KSA_023">
              <w:r>
                <w:rPr>
                  <w:rStyle w:val="InternetLink"/>
                  <w:sz w:val="20"/>
                </w:rPr>
                <w:t>EXPERTS</w:t>
              </w:r>
            </w:hyperlink>
          </w:p>
        </w:tc>
        <w:tc>
          <w:tcPr>
            <w:tcW w:w="455" w:type="dxa"/>
            <w:tcBorders/>
            <w:shd w:fill="FFFFFF" w:val="clear"/>
            <w:vAlign w:val="center"/>
          </w:tcPr>
          <w:p>
            <w:pPr>
              <w:pStyle w:val="TableContents"/>
              <w:bidi w:val="0"/>
              <w:spacing w:before="0" w:after="283"/>
              <w:ind w:left="0" w:right="0" w:hanging="147"/>
              <w:jc w:val="center"/>
              <w:rPr>
                <w:sz w:val="20"/>
              </w:rPr>
            </w:pPr>
            <w:r>
              <w:rPr>
                <w:sz w:val="20"/>
              </w:rPr>
              <w:t>S-8</w:t>
            </w:r>
          </w:p>
        </w:tc>
      </w:tr>
      <w:tr>
        <w:trPr/>
        <w:tc>
          <w:tcPr>
            <w:tcW w:w="5765" w:type="dxa"/>
            <w:tcBorders/>
            <w:shd w:fill="CCEEFF" w:val="clear"/>
            <w:vAlign w:val="center"/>
          </w:tcPr>
          <w:p>
            <w:pPr>
              <w:pStyle w:val="TableContents"/>
              <w:bidi w:val="0"/>
              <w:spacing w:before="0" w:after="283"/>
              <w:jc w:val="left"/>
              <w:rPr/>
            </w:pPr>
            <w:hyperlink w:anchor="KSA_024">
              <w:r>
                <w:rPr>
                  <w:rStyle w:val="InternetLink"/>
                  <w:sz w:val="20"/>
                </w:rPr>
                <w:t>WHERE YOU CAN FIND ADDITIONAL INFORMATION</w:t>
              </w:r>
            </w:hyperlink>
          </w:p>
        </w:tc>
        <w:tc>
          <w:tcPr>
            <w:tcW w:w="455" w:type="dxa"/>
            <w:tcBorders/>
            <w:shd w:fill="CCEEFF" w:val="clear"/>
            <w:vAlign w:val="center"/>
          </w:tcPr>
          <w:p>
            <w:pPr>
              <w:pStyle w:val="TableContents"/>
              <w:bidi w:val="0"/>
              <w:spacing w:before="0" w:after="283"/>
              <w:ind w:left="0" w:right="0" w:hanging="147"/>
              <w:jc w:val="center"/>
              <w:rPr>
                <w:sz w:val="20"/>
              </w:rPr>
            </w:pPr>
            <w:r>
              <w:rPr>
                <w:sz w:val="20"/>
              </w:rPr>
              <w:t>S-8</w:t>
            </w:r>
          </w:p>
        </w:tc>
      </w:tr>
      <w:tr>
        <w:trPr/>
        <w:tc>
          <w:tcPr>
            <w:tcW w:w="5765" w:type="dxa"/>
            <w:tcBorders/>
            <w:shd w:fill="FFFFFF" w:val="clear"/>
            <w:vAlign w:val="center"/>
          </w:tcPr>
          <w:p>
            <w:pPr>
              <w:pStyle w:val="TableContents"/>
              <w:bidi w:val="0"/>
              <w:spacing w:before="0" w:after="283"/>
              <w:jc w:val="left"/>
              <w:rPr/>
            </w:pPr>
            <w:hyperlink w:anchor="KSA_025">
              <w:r>
                <w:rPr>
                  <w:rStyle w:val="InternetLink"/>
                  <w:sz w:val="20"/>
                </w:rPr>
                <w:t>INCORPORATION OF CERTAIN INFORMATION BY REFERENCE</w:t>
              </w:r>
            </w:hyperlink>
          </w:p>
        </w:tc>
        <w:tc>
          <w:tcPr>
            <w:tcW w:w="455" w:type="dxa"/>
            <w:tcBorders/>
            <w:shd w:fill="FFFFFF" w:val="clear"/>
            <w:vAlign w:val="center"/>
          </w:tcPr>
          <w:p>
            <w:pPr>
              <w:pStyle w:val="TableContents"/>
              <w:bidi w:val="0"/>
              <w:spacing w:before="0" w:after="283"/>
              <w:jc w:val="center"/>
              <w:rPr>
                <w:sz w:val="20"/>
              </w:rPr>
            </w:pPr>
            <w:r>
              <w:rPr>
                <w:sz w:val="20"/>
              </w:rPr>
              <w:t>S-8</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890"/>
        <w:gridCol w:w="245"/>
      </w:tblGrid>
      <w:tr>
        <w:trPr/>
        <w:tc>
          <w:tcPr>
            <w:tcW w:w="6890" w:type="dxa"/>
            <w:tcBorders/>
            <w:shd w:fill="CCEEFF" w:val="clear"/>
            <w:vAlign w:val="center"/>
          </w:tcPr>
          <w:p>
            <w:pPr>
              <w:pStyle w:val="TableContents"/>
              <w:bidi w:val="0"/>
              <w:spacing w:before="0" w:after="283"/>
              <w:jc w:val="left"/>
              <w:rPr/>
            </w:pPr>
            <w:hyperlink w:anchor="KSA_007">
              <w:r>
                <w:rPr>
                  <w:rStyle w:val="InternetLink"/>
                  <w:sz w:val="20"/>
                </w:rPr>
                <w:t>ABOUT THIS PROSPECTUS</w:t>
              </w:r>
            </w:hyperlink>
          </w:p>
        </w:tc>
        <w:tc>
          <w:tcPr>
            <w:tcW w:w="245" w:type="dxa"/>
            <w:tcBorders/>
            <w:shd w:fill="CCEEFF" w:val="clear"/>
            <w:vAlign w:val="center"/>
          </w:tcPr>
          <w:p>
            <w:pPr>
              <w:pStyle w:val="TableContents"/>
              <w:bidi w:val="0"/>
              <w:spacing w:before="0" w:after="283"/>
              <w:jc w:val="center"/>
              <w:rPr>
                <w:sz w:val="20"/>
              </w:rPr>
            </w:pPr>
            <w:r>
              <w:rPr>
                <w:sz w:val="20"/>
              </w:rPr>
              <w:t>ii</w:t>
            </w:r>
          </w:p>
        </w:tc>
      </w:tr>
      <w:tr>
        <w:trPr/>
        <w:tc>
          <w:tcPr>
            <w:tcW w:w="6890" w:type="dxa"/>
            <w:tcBorders/>
            <w:shd w:fill="FFFFFF" w:val="clear"/>
            <w:vAlign w:val="center"/>
          </w:tcPr>
          <w:p>
            <w:pPr>
              <w:pStyle w:val="TableContents"/>
              <w:bidi w:val="0"/>
              <w:spacing w:before="0" w:after="283"/>
              <w:jc w:val="left"/>
              <w:rPr/>
            </w:pPr>
            <w:hyperlink w:anchor="KSA_026">
              <w:r>
                <w:rPr>
                  <w:rStyle w:val="InternetLink"/>
                  <w:sz w:val="20"/>
                </w:rPr>
                <w:t>CAUTIONARY STATEMENT REGARDING FORWARD-LOOKING STATEMENTS</w:t>
              </w:r>
            </w:hyperlink>
          </w:p>
        </w:tc>
        <w:tc>
          <w:tcPr>
            <w:tcW w:w="245" w:type="dxa"/>
            <w:tcBorders/>
            <w:shd w:fill="FFFFFF" w:val="clear"/>
            <w:vAlign w:val="center"/>
          </w:tcPr>
          <w:p>
            <w:pPr>
              <w:pStyle w:val="TableContents"/>
              <w:bidi w:val="0"/>
              <w:spacing w:before="0" w:after="283"/>
              <w:jc w:val="center"/>
              <w:rPr>
                <w:sz w:val="20"/>
              </w:rPr>
            </w:pPr>
            <w:r>
              <w:rPr>
                <w:sz w:val="20"/>
              </w:rPr>
              <w:t>iii</w:t>
            </w:r>
          </w:p>
        </w:tc>
      </w:tr>
      <w:tr>
        <w:trPr/>
        <w:tc>
          <w:tcPr>
            <w:tcW w:w="6890" w:type="dxa"/>
            <w:tcBorders/>
            <w:shd w:fill="CCEEFF" w:val="clear"/>
            <w:vAlign w:val="center"/>
          </w:tcPr>
          <w:p>
            <w:pPr>
              <w:pStyle w:val="TableContents"/>
              <w:bidi w:val="0"/>
              <w:spacing w:before="0" w:after="283"/>
              <w:jc w:val="left"/>
              <w:rPr/>
            </w:pPr>
            <w:hyperlink w:anchor="KSA_008">
              <w:r>
                <w:rPr>
                  <w:rStyle w:val="InternetLink"/>
                  <w:sz w:val="20"/>
                </w:rPr>
                <w:t>SUMMARY</w:t>
              </w:r>
            </w:hyperlink>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6890" w:type="dxa"/>
            <w:tcBorders/>
            <w:shd w:fill="FFFFFF" w:val="clear"/>
            <w:vAlign w:val="center"/>
          </w:tcPr>
          <w:p>
            <w:pPr>
              <w:pStyle w:val="TableContents"/>
              <w:bidi w:val="0"/>
              <w:spacing w:before="0" w:after="283"/>
              <w:jc w:val="left"/>
              <w:rPr/>
            </w:pPr>
            <w:hyperlink w:anchor="KSA_009">
              <w:r>
                <w:rPr>
                  <w:rStyle w:val="InternetLink"/>
                  <w:sz w:val="20"/>
                </w:rPr>
                <w:t>RISK FACTORS</w:t>
              </w:r>
            </w:hyperlink>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6890" w:type="dxa"/>
            <w:tcBorders/>
            <w:shd w:fill="CCEEFF" w:val="clear"/>
            <w:vAlign w:val="center"/>
          </w:tcPr>
          <w:p>
            <w:pPr>
              <w:pStyle w:val="TableContents"/>
              <w:bidi w:val="0"/>
              <w:spacing w:before="0" w:after="283"/>
              <w:jc w:val="left"/>
              <w:rPr/>
            </w:pPr>
            <w:hyperlink w:anchor="KSA_010">
              <w:r>
                <w:rPr>
                  <w:rStyle w:val="InternetLink"/>
                  <w:sz w:val="20"/>
                </w:rPr>
                <w:t>USE OF PROCEEDS</w:t>
              </w:r>
            </w:hyperlink>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6890" w:type="dxa"/>
            <w:tcBorders/>
            <w:shd w:fill="FFFFFF" w:val="clear"/>
            <w:vAlign w:val="center"/>
          </w:tcPr>
          <w:p>
            <w:pPr>
              <w:pStyle w:val="TableContents"/>
              <w:bidi w:val="0"/>
              <w:spacing w:before="0" w:after="283"/>
              <w:jc w:val="left"/>
              <w:rPr/>
            </w:pPr>
            <w:hyperlink w:anchor="KSA_027">
              <w:r>
                <w:rPr>
                  <w:rStyle w:val="InternetLink"/>
                  <w:sz w:val="20"/>
                </w:rPr>
                <w:t>DESCRIPTION OF CAPITAL STOCK</w:t>
              </w:r>
            </w:hyperlink>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6890" w:type="dxa"/>
            <w:tcBorders/>
            <w:shd w:fill="CCEEFF" w:val="clear"/>
            <w:vAlign w:val="center"/>
          </w:tcPr>
          <w:p>
            <w:pPr>
              <w:pStyle w:val="TableContents"/>
              <w:bidi w:val="0"/>
              <w:spacing w:before="0" w:after="283"/>
              <w:jc w:val="left"/>
              <w:rPr/>
            </w:pPr>
            <w:hyperlink w:anchor="KSA_011">
              <w:r>
                <w:rPr>
                  <w:rStyle w:val="InternetLink"/>
                  <w:sz w:val="20"/>
                </w:rPr>
                <w:t>DESCRIPTION OF DEBT SECURITIES</w:t>
              </w:r>
            </w:hyperlink>
          </w:p>
        </w:tc>
        <w:tc>
          <w:tcPr>
            <w:tcW w:w="245" w:type="dxa"/>
            <w:tcBorders/>
            <w:shd w:fill="CCEEFF" w:val="clear"/>
            <w:vAlign w:val="center"/>
          </w:tcPr>
          <w:p>
            <w:pPr>
              <w:pStyle w:val="TableContents"/>
              <w:bidi w:val="0"/>
              <w:spacing w:before="0" w:after="283"/>
              <w:jc w:val="center"/>
              <w:rPr/>
            </w:pPr>
            <w:r>
              <w:rPr/>
              <w:t>9</w:t>
            </w:r>
          </w:p>
        </w:tc>
      </w:tr>
      <w:tr>
        <w:trPr/>
        <w:tc>
          <w:tcPr>
            <w:tcW w:w="6890" w:type="dxa"/>
            <w:tcBorders/>
            <w:shd w:fill="FFFFFF" w:val="clear"/>
            <w:vAlign w:val="center"/>
          </w:tcPr>
          <w:p>
            <w:pPr>
              <w:pStyle w:val="TableContents"/>
              <w:bidi w:val="0"/>
              <w:spacing w:before="0" w:after="283"/>
              <w:jc w:val="left"/>
              <w:rPr/>
            </w:pPr>
            <w:hyperlink w:anchor="KSA_012">
              <w:r>
                <w:rPr>
                  <w:rStyle w:val="InternetLink"/>
                  <w:sz w:val="20"/>
                </w:rPr>
                <w:t>DESCRIPTION OF WARRANTS</w:t>
              </w:r>
            </w:hyperlink>
          </w:p>
        </w:tc>
        <w:tc>
          <w:tcPr>
            <w:tcW w:w="245" w:type="dxa"/>
            <w:tcBorders/>
            <w:shd w:fill="FFFFFF" w:val="clear"/>
            <w:vAlign w:val="center"/>
          </w:tcPr>
          <w:p>
            <w:pPr>
              <w:pStyle w:val="TableContents"/>
              <w:bidi w:val="0"/>
              <w:spacing w:before="0" w:after="283"/>
              <w:jc w:val="center"/>
              <w:rPr>
                <w:sz w:val="20"/>
              </w:rPr>
            </w:pPr>
            <w:r>
              <w:rPr>
                <w:sz w:val="20"/>
              </w:rPr>
              <w:t>17</w:t>
            </w:r>
          </w:p>
        </w:tc>
      </w:tr>
      <w:tr>
        <w:trPr/>
        <w:tc>
          <w:tcPr>
            <w:tcW w:w="6890" w:type="dxa"/>
            <w:tcBorders/>
            <w:shd w:fill="CCEEFF" w:val="clear"/>
            <w:vAlign w:val="center"/>
          </w:tcPr>
          <w:p>
            <w:pPr>
              <w:pStyle w:val="TableContents"/>
              <w:bidi w:val="0"/>
              <w:spacing w:before="0" w:after="283"/>
              <w:jc w:val="left"/>
              <w:rPr/>
            </w:pPr>
            <w:hyperlink w:anchor="KSA_013">
              <w:r>
                <w:rPr>
                  <w:rStyle w:val="InternetLink"/>
                  <w:sz w:val="20"/>
                </w:rPr>
                <w:t>DESCRIPTION OF RIGHTS</w:t>
              </w:r>
            </w:hyperlink>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6890" w:type="dxa"/>
            <w:tcBorders/>
            <w:shd w:fill="FFFFFF" w:val="clear"/>
            <w:vAlign w:val="center"/>
          </w:tcPr>
          <w:p>
            <w:pPr>
              <w:pStyle w:val="TableContents"/>
              <w:bidi w:val="0"/>
              <w:spacing w:before="0" w:after="283"/>
              <w:jc w:val="left"/>
              <w:rPr/>
            </w:pPr>
            <w:hyperlink w:anchor="KSA_014">
              <w:r>
                <w:rPr>
                  <w:rStyle w:val="InternetLink"/>
                  <w:sz w:val="20"/>
                </w:rPr>
                <w:t>DESCRIPTION OF UNITS</w:t>
              </w:r>
            </w:hyperlink>
          </w:p>
        </w:tc>
        <w:tc>
          <w:tcPr>
            <w:tcW w:w="245" w:type="dxa"/>
            <w:tcBorders/>
            <w:shd w:fill="FFFFFF" w:val="clear"/>
            <w:vAlign w:val="center"/>
          </w:tcPr>
          <w:p>
            <w:pPr>
              <w:pStyle w:val="TableContents"/>
              <w:bidi w:val="0"/>
              <w:spacing w:before="0" w:after="283"/>
              <w:jc w:val="center"/>
              <w:rPr>
                <w:sz w:val="20"/>
              </w:rPr>
            </w:pPr>
            <w:r>
              <w:rPr>
                <w:sz w:val="20"/>
              </w:rPr>
              <w:t>19</w:t>
            </w:r>
          </w:p>
        </w:tc>
      </w:tr>
      <w:tr>
        <w:trPr/>
        <w:tc>
          <w:tcPr>
            <w:tcW w:w="6890" w:type="dxa"/>
            <w:tcBorders/>
            <w:shd w:fill="CCEEFF" w:val="clear"/>
            <w:vAlign w:val="center"/>
          </w:tcPr>
          <w:p>
            <w:pPr>
              <w:pStyle w:val="TableContents"/>
              <w:bidi w:val="0"/>
              <w:spacing w:before="0" w:after="283"/>
              <w:jc w:val="left"/>
              <w:rPr/>
            </w:pPr>
            <w:hyperlink w:anchor="KSA_015">
              <w:r>
                <w:rPr>
                  <w:rStyle w:val="InternetLink"/>
                  <w:sz w:val="20"/>
                </w:rPr>
                <w:t>GLOBAL SECURITIES</w:t>
              </w:r>
            </w:hyperlink>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6890" w:type="dxa"/>
            <w:tcBorders/>
            <w:shd w:fill="FFFFFF" w:val="clear"/>
            <w:vAlign w:val="center"/>
          </w:tcPr>
          <w:p>
            <w:pPr>
              <w:pStyle w:val="TableContents"/>
              <w:bidi w:val="0"/>
              <w:spacing w:before="0" w:after="283"/>
              <w:jc w:val="left"/>
              <w:rPr/>
            </w:pPr>
            <w:hyperlink w:anchor="KSA_016">
              <w:r>
                <w:rPr>
                  <w:rStyle w:val="InternetLink"/>
                  <w:sz w:val="20"/>
                </w:rPr>
                <w:t>PLAN OF DISTRIBUTION</w:t>
              </w:r>
            </w:hyperlink>
          </w:p>
        </w:tc>
        <w:tc>
          <w:tcPr>
            <w:tcW w:w="245" w:type="dxa"/>
            <w:tcBorders/>
            <w:shd w:fill="FFFFFF" w:val="clear"/>
            <w:vAlign w:val="center"/>
          </w:tcPr>
          <w:p>
            <w:pPr>
              <w:pStyle w:val="TableContents"/>
              <w:bidi w:val="0"/>
              <w:spacing w:before="0" w:after="283"/>
              <w:jc w:val="center"/>
              <w:rPr>
                <w:sz w:val="20"/>
              </w:rPr>
            </w:pPr>
            <w:r>
              <w:rPr>
                <w:sz w:val="20"/>
              </w:rPr>
              <w:t>23</w:t>
            </w:r>
          </w:p>
        </w:tc>
      </w:tr>
      <w:tr>
        <w:trPr/>
        <w:tc>
          <w:tcPr>
            <w:tcW w:w="6890" w:type="dxa"/>
            <w:tcBorders/>
            <w:shd w:fill="CCEEFF" w:val="clear"/>
            <w:vAlign w:val="center"/>
          </w:tcPr>
          <w:p>
            <w:pPr>
              <w:pStyle w:val="TableContents"/>
              <w:bidi w:val="0"/>
              <w:spacing w:before="0" w:after="283"/>
              <w:jc w:val="left"/>
              <w:rPr/>
            </w:pPr>
            <w:hyperlink w:anchor="KSA_017">
              <w:r>
                <w:rPr>
                  <w:rStyle w:val="InternetLink"/>
                  <w:sz w:val="20"/>
                </w:rPr>
                <w:t>LEGAL MATTERS</w:t>
              </w:r>
            </w:hyperlink>
          </w:p>
        </w:tc>
        <w:tc>
          <w:tcPr>
            <w:tcW w:w="245" w:type="dxa"/>
            <w:tcBorders/>
            <w:shd w:fill="CCEEFF" w:val="clear"/>
            <w:vAlign w:val="center"/>
          </w:tcPr>
          <w:p>
            <w:pPr>
              <w:pStyle w:val="TableContents"/>
              <w:bidi w:val="0"/>
              <w:spacing w:before="0" w:after="283"/>
              <w:jc w:val="center"/>
              <w:rPr>
                <w:sz w:val="20"/>
              </w:rPr>
            </w:pPr>
            <w:r>
              <w:rPr>
                <w:sz w:val="20"/>
              </w:rPr>
              <w:t>25</w:t>
            </w:r>
          </w:p>
        </w:tc>
      </w:tr>
      <w:tr>
        <w:trPr/>
        <w:tc>
          <w:tcPr>
            <w:tcW w:w="6890" w:type="dxa"/>
            <w:tcBorders/>
            <w:shd w:fill="FFFFFF" w:val="clear"/>
            <w:vAlign w:val="center"/>
          </w:tcPr>
          <w:p>
            <w:pPr>
              <w:pStyle w:val="TableContents"/>
              <w:bidi w:val="0"/>
              <w:spacing w:before="0" w:after="283"/>
              <w:jc w:val="left"/>
              <w:rPr/>
            </w:pPr>
            <w:hyperlink w:anchor="KSA_018">
              <w:r>
                <w:rPr>
                  <w:rStyle w:val="InternetLink"/>
                  <w:sz w:val="20"/>
                </w:rPr>
                <w:t>EXPERTS</w:t>
              </w:r>
            </w:hyperlink>
          </w:p>
        </w:tc>
        <w:tc>
          <w:tcPr>
            <w:tcW w:w="245" w:type="dxa"/>
            <w:tcBorders/>
            <w:shd w:fill="FFFFFF" w:val="clear"/>
            <w:vAlign w:val="center"/>
          </w:tcPr>
          <w:p>
            <w:pPr>
              <w:pStyle w:val="TableContents"/>
              <w:bidi w:val="0"/>
              <w:spacing w:before="0" w:after="283"/>
              <w:jc w:val="center"/>
              <w:rPr>
                <w:sz w:val="20"/>
              </w:rPr>
            </w:pPr>
            <w:r>
              <w:rPr>
                <w:sz w:val="20"/>
              </w:rPr>
              <w:t>25</w:t>
            </w:r>
          </w:p>
        </w:tc>
      </w:tr>
      <w:tr>
        <w:trPr/>
        <w:tc>
          <w:tcPr>
            <w:tcW w:w="6890" w:type="dxa"/>
            <w:tcBorders/>
            <w:shd w:fill="CCEEFF" w:val="clear"/>
            <w:vAlign w:val="center"/>
          </w:tcPr>
          <w:p>
            <w:pPr>
              <w:pStyle w:val="TableContents"/>
              <w:bidi w:val="0"/>
              <w:spacing w:before="0" w:after="283"/>
              <w:jc w:val="left"/>
              <w:rPr/>
            </w:pPr>
            <w:hyperlink w:anchor="KSA_019">
              <w:r>
                <w:rPr>
                  <w:rStyle w:val="InternetLink"/>
                  <w:sz w:val="20"/>
                </w:rPr>
                <w:t>WHERE YOU CAN FIND MORE INFORMATION</w:t>
              </w:r>
            </w:hyperlink>
          </w:p>
        </w:tc>
        <w:tc>
          <w:tcPr>
            <w:tcW w:w="245" w:type="dxa"/>
            <w:tcBorders/>
            <w:shd w:fill="CCEEFF" w:val="clear"/>
            <w:vAlign w:val="center"/>
          </w:tcPr>
          <w:p>
            <w:pPr>
              <w:pStyle w:val="TableContents"/>
              <w:bidi w:val="0"/>
              <w:spacing w:before="0" w:after="283"/>
              <w:jc w:val="center"/>
              <w:rPr>
                <w:sz w:val="20"/>
              </w:rPr>
            </w:pPr>
            <w:r>
              <w:rPr>
                <w:sz w:val="20"/>
              </w:rPr>
              <w:t>25</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KSA_001"/>
      <w:bookmarkEnd w:id="2"/>
      <w:r>
        <w:rPr>
          <w:rFonts w:ascii="Times New Roman;Times;Serif" w:hAnsi="Times New Roman;Times;Serif"/>
          <w:b/>
          <w:i w:val="false"/>
          <w:caps w:val="false"/>
          <w:smallCaps w:val="false"/>
          <w:sz w:val="20"/>
        </w:rPr>
        <w:t>ABOUT THIS PROSPECTUS SUPPLEMENT</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dated November 21, 2025, are part of a registration statement on Form S-3 that we filed with the U.S. Securities and Exchange Commission (the “SEC”) under the Securities Act utilizing a “shelf” registration process or continuous offering. Under this shelf registration process, we may, from time to time, offer and sell in one or more offerings any securities described in the accompanying prospectus.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this prospectus supplement, which describes the terms of this offering of securities and also adds to and updates information contained in the accompanying prospectus and the documents incorporated by reference into this prospectus supplement and the accompanying prospectus. The second part, the accompanying prospectus,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any information other than that contained or incorporated by reference in this prospectus supplement, the accompanying prospectus or in any free writing prospectus that we have authorized for use in connection with this offering. We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their entirety before making your investment decision. You should also read and consider the information in the documents to which we have referred you in the sections titled “Where You Can Find Additional Information” and “Incorporation of Certain Information by Reference” in this prospectus supplement and in the accompanying prospectus.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as exhibits to the registration statement of which this prospectus supplement is a part or as exhibits to documents incorporated by reference herein, and you may obtain copies of those documents as described below under the headings “Where You Can Find Additional Information” and “Incorporation of Certain Information by Reference.”</w:t>
      </w:r>
    </w:p>
    <w:p>
      <w:pPr>
        <w:pStyle w:val="TextBody"/>
        <w:bidi w:val="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shares of our securities only in jurisdictions in which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herein or as the context otherwise requires, references in this prospectus supplement, the accompanying prospectus and the information incorporated by referenced herein or therein to (i) “Silvaco,” “the Company,” “we,” “us,” “our” and similar terms refer to Silvaco Group, Inc. and its subsidiaries and (ii) “common stock” refer to shares of common stock of Silvaco Group, Inc., par value $0.0001 per share.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KSA_002"/>
      <w:bookmarkEnd w:id="3"/>
      <w:r>
        <w:rPr>
          <w:rFonts w:ascii="Times New Roman;Times;Serif" w:hAnsi="Times New Roman;Times;Serif"/>
          <w:b/>
          <w:i w:val="false"/>
          <w:caps w:val="false"/>
          <w:smallCaps w:val="false"/>
          <w:sz w:val="20"/>
        </w:rPr>
        <w:t>SPECIAL NOTE REGARDING FORWARD-LOOKING STATEMENTS</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the documents incorporated by reference and any free writing prospectus that we have authorized for use in connection with this offering may contain forward-looking statements within the meaning of Section 27A of the Securities Act, and Section 21E of the Exchange Act, and we intend that such forward-looking statements be subject to the safe harbors created thereby. All statements made in this prospectus supplement, the accompany prospectus, the documents incorporated by reference and any free writing prospectus that we have authorized for use in connection with this offering, that are not statements of historical fact are forward-looking statements. Without limiting the generality of the foregoing, words such as “anticipates,” “believes,” “could,” “estimates,” “expects,” “intends,” “continue,” “can,” “may,” “plans,” “potential,” “projects,” “seeks,” “should,” “will,” “would” or similar expressions and the negatives of those expressions may identify forward-looking statements, although not all forward-looking statements contain these identifying words. Such forward-looking statements include, but are not limited to, any statements that refer to projections of our future financial condition and results of operations, capital needs and financing plans, competitive position, industry environment, potential growth and market opportunities, acquisition, sale or divestiture plans and strategies, compensation plans, governance structure and policies and/or the price of our common stock.</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herein represent our management’s current expectations and assumptions based on information available as of the date of this prospectus supplement. These statements involve numerous known and unknown risks, uncertainties and other factors that may cause our actual results, performance or achievements to be materially different from any future results, performance or achievements expressed or implied by the forward-looking statements. Factors that may cause or contribute to such differences include, but are not limited to:</w:t>
      </w:r>
    </w:p>
    <w:p>
      <w:pPr>
        <w:pStyle w:val="TextBody"/>
        <w:bidi w:val="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275"/>
        <w:gridCol w:w="17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775" w:type="dxa"/>
            <w:tcBorders/>
            <w:vAlign w:val="center"/>
          </w:tcPr>
          <w:p>
            <w:pPr>
              <w:pStyle w:val="TableContents"/>
              <w:bidi w:val="0"/>
              <w:spacing w:before="0" w:after="283"/>
              <w:jc w:val="both"/>
              <w:rPr/>
            </w:pPr>
            <w:r>
              <w:rPr/>
              <w:t>market conditions;</w:t>
            </w:r>
          </w:p>
        </w:tc>
      </w:tr>
    </w:tbl>
    <w:p>
      <w:pPr>
        <w:pStyle w:val="TextBody"/>
        <w:bidi w:val="0"/>
        <w:ind w:left="0" w:right="0" w:firstLine="490"/>
        <w:jc w:val="both"/>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29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both"/>
              <w:rPr/>
            </w:pPr>
            <w:r>
              <w:rPr/>
              <w:t>anticipated trends, challenges and growth in our business and the markets in which we operate;</w:t>
            </w:r>
          </w:p>
        </w:tc>
      </w:tr>
    </w:tbl>
    <w:p>
      <w:pPr>
        <w:pStyle w:val="TextBody"/>
        <w:bidi w:val="0"/>
        <w:ind w:left="0" w:right="0" w:firstLine="49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275"/>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185" w:type="dxa"/>
            <w:tcBorders/>
            <w:vAlign w:val="center"/>
          </w:tcPr>
          <w:p>
            <w:pPr>
              <w:pStyle w:val="TableContents"/>
              <w:bidi w:val="0"/>
              <w:spacing w:before="0" w:after="283"/>
              <w:jc w:val="both"/>
              <w:rPr/>
            </w:pPr>
            <w:r>
              <w:rPr/>
              <w:t>our ability to appropriately respond to changing technologies on a timely and cost-effective basis;</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(d)</w:t>
            </w:r>
          </w:p>
        </w:tc>
        <w:tc>
          <w:tcPr>
            <w:tcW w:w="9881" w:type="dxa"/>
            <w:tcBorders/>
            <w:vAlign w:val="center"/>
          </w:tcPr>
          <w:p>
            <w:pPr>
              <w:pStyle w:val="TableContents"/>
              <w:bidi w:val="0"/>
              <w:spacing w:before="0" w:after="283"/>
              <w:jc w:val="both"/>
              <w:rPr/>
            </w:pPr>
            <w:r>
              <w:rPr/>
              <w:t>the size and growth potential of the markets for our software solutions, and our ability to serve those markets;</w:t>
            </w:r>
          </w:p>
        </w:tc>
      </w:tr>
    </w:tbl>
    <w:p>
      <w:pPr>
        <w:pStyle w:val="TextBody"/>
        <w:bidi w:val="0"/>
        <w:ind w:left="0" w:right="0" w:firstLine="49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275"/>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6845" w:type="dxa"/>
            <w:tcBorders/>
            <w:vAlign w:val="center"/>
          </w:tcPr>
          <w:p>
            <w:pPr>
              <w:pStyle w:val="TableContents"/>
              <w:bidi w:val="0"/>
              <w:spacing w:before="0" w:after="283"/>
              <w:jc w:val="both"/>
              <w:rPr/>
            </w:pPr>
            <w:r>
              <w:rPr/>
              <w:t>our expectations regarding competition in our existing and new markets;</w:t>
            </w:r>
          </w:p>
        </w:tc>
      </w:tr>
    </w:tbl>
    <w:p>
      <w:pPr>
        <w:pStyle w:val="TextBody"/>
        <w:bidi w:val="0"/>
        <w:ind w:left="0" w:right="0" w:firstLine="49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45"/>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4850" w:type="dxa"/>
            <w:tcBorders/>
            <w:vAlign w:val="center"/>
          </w:tcPr>
          <w:p>
            <w:pPr>
              <w:pStyle w:val="TableContents"/>
              <w:bidi w:val="0"/>
              <w:spacing w:before="0" w:after="283"/>
              <w:jc w:val="both"/>
              <w:rPr/>
            </w:pPr>
            <w:r>
              <w:rPr/>
              <w:t>the level of demand in our customers’ end markets;</w:t>
            </w:r>
          </w:p>
        </w:tc>
      </w:tr>
    </w:tbl>
    <w:p>
      <w:pPr>
        <w:pStyle w:val="TextBody"/>
        <w:bidi w:val="0"/>
        <w:ind w:left="0" w:right="0" w:firstLine="49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9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6380" w:type="dxa"/>
            <w:tcBorders/>
            <w:vAlign w:val="center"/>
          </w:tcPr>
          <w:p>
            <w:pPr>
              <w:pStyle w:val="TableContents"/>
              <w:bidi w:val="0"/>
              <w:spacing w:before="0" w:after="283"/>
              <w:jc w:val="both"/>
              <w:rPr/>
            </w:pPr>
            <w:r>
              <w:rPr/>
              <w:t>regulatory developments in the United States and foreign countries;</w:t>
            </w:r>
          </w:p>
        </w:tc>
      </w:tr>
    </w:tbl>
    <w:p>
      <w:pPr>
        <w:pStyle w:val="TextBody"/>
        <w:bidi w:val="0"/>
        <w:ind w:left="0" w:right="0" w:firstLine="490"/>
        <w:jc w:val="both"/>
        <w:rPr>
          <w:caps w:val="false"/>
          <w:smallCaps w:val="false"/>
        </w:rPr>
      </w:pPr>
      <w:r>
        <w:rPr>
          <w:caps w:val="false"/>
          <w:smallCaps w:val="false"/>
        </w:rPr>
        <w:t> </w:t>
      </w:r>
    </w:p>
    <w:tbl>
      <w:tblPr>
        <w:tblW w:w="5988" w:type="dxa"/>
        <w:jc w:val="left"/>
        <w:tblInd w:w="0" w:type="dxa"/>
        <w:tblLayout w:type="fixed"/>
        <w:tblCellMar>
          <w:top w:w="0" w:type="dxa"/>
          <w:left w:w="0" w:type="dxa"/>
          <w:bottom w:w="0" w:type="dxa"/>
          <w:right w:w="0" w:type="dxa"/>
        </w:tblCellMar>
      </w:tblPr>
      <w:tblGrid>
        <w:gridCol w:w="38"/>
        <w:gridCol w:w="29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5660" w:type="dxa"/>
            <w:tcBorders/>
            <w:vAlign w:val="center"/>
          </w:tcPr>
          <w:p>
            <w:pPr>
              <w:pStyle w:val="TableContents"/>
              <w:bidi w:val="0"/>
              <w:spacing w:before="0" w:after="283"/>
              <w:jc w:val="both"/>
              <w:rPr/>
            </w:pPr>
            <w:r>
              <w:rPr/>
              <w:t>changes in trade policies, including the imposition of tariffs;</w:t>
            </w:r>
          </w:p>
        </w:tc>
      </w:tr>
    </w:tbl>
    <w:p>
      <w:pPr>
        <w:pStyle w:val="TextBody"/>
        <w:bidi w:val="0"/>
        <w:ind w:left="0" w:right="0" w:firstLine="490"/>
        <w:jc w:val="both"/>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23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690" w:type="dxa"/>
            <w:tcBorders/>
            <w:vAlign w:val="center"/>
          </w:tcPr>
          <w:p>
            <w:pPr>
              <w:pStyle w:val="TableContents"/>
              <w:bidi w:val="0"/>
              <w:spacing w:before="0" w:after="283"/>
              <w:jc w:val="both"/>
              <w:rPr/>
            </w:pPr>
            <w:r>
              <w:rPr/>
              <w:t>proposed new software solutions, services or developments;</w:t>
            </w:r>
          </w:p>
        </w:tc>
      </w:tr>
    </w:tbl>
    <w:p>
      <w:pPr>
        <w:pStyle w:val="TextBody"/>
        <w:bidi w:val="0"/>
        <w:ind w:left="0" w:right="0" w:firstLine="49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3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(j)</w:t>
            </w:r>
          </w:p>
        </w:tc>
        <w:tc>
          <w:tcPr>
            <w:tcW w:w="5555" w:type="dxa"/>
            <w:tcBorders/>
            <w:vAlign w:val="center"/>
          </w:tcPr>
          <w:p>
            <w:pPr>
              <w:pStyle w:val="TableContents"/>
              <w:bidi w:val="0"/>
              <w:spacing w:before="0" w:after="283"/>
              <w:jc w:val="both"/>
              <w:rPr/>
            </w:pPr>
            <w:r>
              <w:rPr/>
              <w:t>our ability to attract and retain key management personnel;</w:t>
            </w:r>
          </w:p>
        </w:tc>
      </w:tr>
    </w:tbl>
    <w:p>
      <w:pPr>
        <w:pStyle w:val="TextBody"/>
        <w:bidi w:val="0"/>
        <w:ind w:left="0" w:right="0" w:firstLine="490"/>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9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(k)</w:t>
            </w:r>
          </w:p>
        </w:tc>
        <w:tc>
          <w:tcPr>
            <w:tcW w:w="8510" w:type="dxa"/>
            <w:tcBorders/>
            <w:vAlign w:val="center"/>
          </w:tcPr>
          <w:p>
            <w:pPr>
              <w:pStyle w:val="TableContents"/>
              <w:bidi w:val="0"/>
              <w:spacing w:before="0" w:after="283"/>
              <w:jc w:val="both"/>
              <w:rPr/>
            </w:pPr>
            <w:r>
              <w:rPr/>
              <w:t>our customer relationships and our ability to retain and expand our customer relationships;</w:t>
            </w:r>
          </w:p>
        </w:tc>
      </w:tr>
    </w:tbl>
    <w:p>
      <w:pPr>
        <w:pStyle w:val="TextBody"/>
        <w:bidi w:val="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ind w:left="0" w:right="0" w:firstLine="49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38"/>
        <w:gridCol w:w="23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(l)</w:t>
            </w:r>
          </w:p>
        </w:tc>
        <w:tc>
          <w:tcPr>
            <w:tcW w:w="7910" w:type="dxa"/>
            <w:tcBorders/>
            <w:vAlign w:val="center"/>
          </w:tcPr>
          <w:p>
            <w:pPr>
              <w:pStyle w:val="TableContents"/>
              <w:bidi w:val="0"/>
              <w:spacing w:before="0" w:after="283"/>
              <w:jc w:val="both"/>
              <w:rPr/>
            </w:pPr>
            <w:r>
              <w:rPr/>
              <w:t>our ability to diversify our customer base and develop relationships in new markets;</w:t>
            </w:r>
          </w:p>
        </w:tc>
      </w:tr>
    </w:tbl>
    <w:p>
      <w:pPr>
        <w:pStyle w:val="TextBody"/>
        <w:bidi w:val="0"/>
        <w:ind w:left="0" w:right="0" w:firstLine="490"/>
        <w:jc w:val="both"/>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35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9185" w:type="dxa"/>
            <w:tcBorders/>
            <w:vAlign w:val="center"/>
          </w:tcPr>
          <w:p>
            <w:pPr>
              <w:pStyle w:val="TableContents"/>
              <w:bidi w:val="0"/>
              <w:spacing w:before="0" w:after="283"/>
              <w:jc w:val="both"/>
              <w:rPr/>
            </w:pPr>
            <w:r>
              <w:rPr/>
              <w:t>the strategies, prospects, plans, expectations, and objectives of management for future operations;</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(n)</w:t>
            </w:r>
          </w:p>
        </w:tc>
        <w:tc>
          <w:tcPr>
            <w:tcW w:w="9882" w:type="dxa"/>
            <w:tcBorders/>
            <w:vAlign w:val="center"/>
          </w:tcPr>
          <w:p>
            <w:pPr>
              <w:pStyle w:val="TableContents"/>
              <w:bidi w:val="0"/>
              <w:spacing w:before="0" w:after="283"/>
              <w:jc w:val="both"/>
              <w:rPr/>
            </w:pPr>
            <w:r>
              <w:rPr/>
              <w:t>public health crises, pandemics, and epidemics and their effects on our business and our customers’ businesses;</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(o)</w:t>
            </w:r>
          </w:p>
        </w:tc>
        <w:tc>
          <w:tcPr>
            <w:tcW w:w="9916" w:type="dxa"/>
            <w:tcBorders/>
            <w:vAlign w:val="center"/>
          </w:tcPr>
          <w:p>
            <w:pPr>
              <w:pStyle w:val="TableContents"/>
              <w:bidi w:val="0"/>
              <w:spacing w:before="0" w:after="283"/>
              <w:jc w:val="both"/>
              <w:rPr/>
            </w:pPr>
            <w:r>
              <w:rPr/>
              <w:t>the impact of the current conflicts between Ukraine and Russia and Israel and Hamas and the ongoing trade disputes between the United States and China on our business, financial condition or prospects,</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(p)</w:t>
            </w:r>
          </w:p>
        </w:tc>
        <w:tc>
          <w:tcPr>
            <w:tcW w:w="9900" w:type="dxa"/>
            <w:tcBorders/>
            <w:vAlign w:val="center"/>
          </w:tcPr>
          <w:p>
            <w:pPr>
              <w:pStyle w:val="TableContents"/>
              <w:bidi w:val="0"/>
              <w:spacing w:before="0" w:after="283"/>
              <w:jc w:val="both"/>
              <w:rPr/>
            </w:pPr>
            <w:r>
              <w:rPr/>
              <w:t>delays and disruptions of the global supply chains and the business activities of our suppliers, distributors, customers and other business partners;</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(q)</w:t>
            </w:r>
          </w:p>
        </w:tc>
        <w:tc>
          <w:tcPr>
            <w:tcW w:w="9911" w:type="dxa"/>
            <w:tcBorders/>
            <w:vAlign w:val="center"/>
          </w:tcPr>
          <w:p>
            <w:pPr>
              <w:pStyle w:val="TableContents"/>
              <w:bidi w:val="0"/>
              <w:spacing w:before="0" w:after="283"/>
              <w:jc w:val="both"/>
              <w:rPr/>
            </w:pPr>
            <w:r>
              <w:rPr/>
              <w:t>changes in general economic or business conditions or economic or demographic trends in the United States and foreign countries including changes in interest rates and inflation;</w:t>
            </w:r>
          </w:p>
        </w:tc>
      </w:tr>
    </w:tbl>
    <w:p>
      <w:pPr>
        <w:pStyle w:val="TextBody"/>
        <w:bidi w:val="0"/>
        <w:ind w:left="0" w:right="0" w:firstLine="49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24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(r)</w:t>
            </w:r>
          </w:p>
        </w:tc>
        <w:tc>
          <w:tcPr>
            <w:tcW w:w="3455" w:type="dxa"/>
            <w:tcBorders/>
            <w:vAlign w:val="center"/>
          </w:tcPr>
          <w:p>
            <w:pPr>
              <w:pStyle w:val="TableContents"/>
              <w:bidi w:val="0"/>
              <w:spacing w:before="0" w:after="283"/>
              <w:jc w:val="both"/>
              <w:rPr/>
            </w:pPr>
            <w:r>
              <w:rPr/>
              <w:t>our ability to raise additional capital;</w:t>
            </w:r>
          </w:p>
        </w:tc>
      </w:tr>
    </w:tbl>
    <w:p>
      <w:pPr>
        <w:pStyle w:val="TextBody"/>
        <w:bidi w:val="0"/>
        <w:ind w:left="0" w:right="0" w:firstLine="49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6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(s)</w:t>
            </w:r>
          </w:p>
        </w:tc>
        <w:tc>
          <w:tcPr>
            <w:tcW w:w="6395" w:type="dxa"/>
            <w:tcBorders/>
            <w:vAlign w:val="center"/>
          </w:tcPr>
          <w:p>
            <w:pPr>
              <w:pStyle w:val="TableContents"/>
              <w:bidi w:val="0"/>
              <w:spacing w:before="0" w:after="283"/>
              <w:jc w:val="both"/>
              <w:rPr/>
            </w:pPr>
            <w:r>
              <w:rPr/>
              <w:t>our ability to accurately forecast demand for our software solutions;</w:t>
            </w:r>
          </w:p>
        </w:tc>
      </w:tr>
    </w:tbl>
    <w:p>
      <w:pPr>
        <w:pStyle w:val="TextBody"/>
        <w:bidi w:val="0"/>
        <w:ind w:left="0" w:right="0" w:firstLine="490"/>
        <w:jc w:val="both"/>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3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(t)</w:t>
            </w:r>
          </w:p>
        </w:tc>
        <w:tc>
          <w:tcPr>
            <w:tcW w:w="8420" w:type="dxa"/>
            <w:tcBorders/>
            <w:vAlign w:val="center"/>
          </w:tcPr>
          <w:p>
            <w:pPr>
              <w:pStyle w:val="TableContents"/>
              <w:bidi w:val="0"/>
              <w:spacing w:before="0" w:after="283"/>
              <w:jc w:val="both"/>
              <w:rPr/>
            </w:pPr>
            <w:r>
              <w:rPr/>
              <w:t>our expectations regarding the financial and other impacts of current and future litigation;</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(u)</w:t>
            </w:r>
          </w:p>
        </w:tc>
        <w:tc>
          <w:tcPr>
            <w:tcW w:w="9921" w:type="dxa"/>
            <w:tcBorders/>
            <w:vAlign w:val="center"/>
          </w:tcPr>
          <w:p>
            <w:pPr>
              <w:pStyle w:val="TableContents"/>
              <w:bidi w:val="0"/>
              <w:spacing w:before="0" w:after="283"/>
              <w:jc w:val="both"/>
              <w:rPr/>
            </w:pPr>
            <w:r>
              <w:rPr/>
              <w:t>our expectations regarding the period during which we qualify as an emerging growth company under the JOBS Act and as a smaller reporting company under the Securities Exchange Act of 1934, as amended (the “Exchange Act”);</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(v)</w:t>
            </w:r>
          </w:p>
        </w:tc>
        <w:tc>
          <w:tcPr>
            <w:tcW w:w="9893" w:type="dxa"/>
            <w:tcBorders/>
            <w:vAlign w:val="center"/>
          </w:tcPr>
          <w:p>
            <w:pPr>
              <w:pStyle w:val="TableContents"/>
              <w:bidi w:val="0"/>
              <w:spacing w:before="0" w:after="283"/>
              <w:jc w:val="both"/>
              <w:rPr/>
            </w:pPr>
            <w:r>
              <w:rPr/>
              <w:t>our expectations regarding our ability to obtain, maintain, protect and enforce intellectual property protection for our technology;</w:t>
            </w:r>
          </w:p>
        </w:tc>
      </w:tr>
    </w:tbl>
    <w:p>
      <w:pPr>
        <w:pStyle w:val="TextBody"/>
        <w:bidi w:val="0"/>
        <w:ind w:left="0" w:right="0" w:firstLine="490"/>
        <w:jc w:val="both"/>
        <w:rPr>
          <w:caps w:val="false"/>
          <w:smallCaps w:val="false"/>
        </w:rPr>
      </w:pPr>
      <w:r>
        <w:rPr>
          <w:caps w:val="false"/>
          <w:smallCaps w:val="false"/>
        </w:rPr>
        <w:t> </w:t>
      </w:r>
    </w:p>
    <w:tbl>
      <w:tblPr>
        <w:tblW w:w="3738" w:type="dxa"/>
        <w:jc w:val="left"/>
        <w:tblInd w:w="0" w:type="dxa"/>
        <w:tblLayout w:type="fixed"/>
        <w:tblCellMar>
          <w:top w:w="0" w:type="dxa"/>
          <w:left w:w="0" w:type="dxa"/>
          <w:bottom w:w="0" w:type="dxa"/>
          <w:right w:w="0" w:type="dxa"/>
        </w:tblCellMar>
      </w:tblPr>
      <w:tblGrid>
        <w:gridCol w:w="38"/>
        <w:gridCol w:w="35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(w)</w:t>
            </w:r>
          </w:p>
        </w:tc>
        <w:tc>
          <w:tcPr>
            <w:tcW w:w="3350" w:type="dxa"/>
            <w:tcBorders/>
            <w:vAlign w:val="center"/>
          </w:tcPr>
          <w:p>
            <w:pPr>
              <w:pStyle w:val="TableContents"/>
              <w:bidi w:val="0"/>
              <w:spacing w:before="0" w:after="283"/>
              <w:jc w:val="both"/>
              <w:rPr/>
            </w:pPr>
            <w:r>
              <w:rPr/>
              <w:t>our status as a controlled company;</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(x)</w:t>
            </w:r>
          </w:p>
        </w:tc>
        <w:tc>
          <w:tcPr>
            <w:tcW w:w="9905" w:type="dxa"/>
            <w:tcBorders/>
            <w:vAlign w:val="center"/>
          </w:tcPr>
          <w:p>
            <w:pPr>
              <w:pStyle w:val="TableContents"/>
              <w:bidi w:val="0"/>
              <w:spacing w:before="0" w:after="283"/>
              <w:jc w:val="both"/>
              <w:rPr/>
            </w:pPr>
            <w:r>
              <w:rPr/>
              <w:t>variations in certain financial statement line items from the estimated figures presented herein upon the completion of the Company’s financial reporting process;</w:t>
            </w:r>
          </w:p>
        </w:tc>
      </w:tr>
    </w:tbl>
    <w:p>
      <w:pPr>
        <w:pStyle w:val="TextBody"/>
        <w:bidi w:val="0"/>
        <w:ind w:left="0" w:right="0" w:firstLine="49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29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(y)</w:t>
            </w:r>
          </w:p>
        </w:tc>
        <w:tc>
          <w:tcPr>
            <w:tcW w:w="5960" w:type="dxa"/>
            <w:tcBorders/>
            <w:vAlign w:val="center"/>
          </w:tcPr>
          <w:p>
            <w:pPr>
              <w:pStyle w:val="TableContents"/>
              <w:bidi w:val="0"/>
              <w:spacing w:before="0" w:after="283"/>
              <w:jc w:val="both"/>
              <w:rPr/>
            </w:pPr>
            <w:r>
              <w:rPr/>
              <w:t>our use of the net proceeds from our initial public offering; and</w:t>
            </w:r>
          </w:p>
        </w:tc>
      </w:tr>
    </w:tbl>
    <w:p>
      <w:pPr>
        <w:pStyle w:val="TextBody"/>
        <w:bidi w:val="0"/>
        <w:ind w:left="0" w:right="0" w:firstLine="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(z)</w:t>
            </w:r>
          </w:p>
        </w:tc>
        <w:tc>
          <w:tcPr>
            <w:tcW w:w="9914" w:type="dxa"/>
            <w:tcBorders/>
            <w:vAlign w:val="center"/>
          </w:tcPr>
          <w:p>
            <w:pPr>
              <w:pStyle w:val="TableContents"/>
              <w:bidi w:val="0"/>
              <w:spacing w:before="0" w:after="283"/>
              <w:jc w:val="both"/>
              <w:rPr/>
            </w:pPr>
            <w:r>
              <w:rPr/>
              <w:t>the factors described under the headings “Risk Factors” in our Annual Report on Form 10-K and subsequent Quarterly Report on Form 10-Q.</w:t>
            </w:r>
          </w:p>
        </w:tc>
      </w:tr>
    </w:tbl>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necessarily only estimates of future results, and there can be no assurance that actual results will not differ materially from expectations. You should read this prospectus supplement, the accompanying prospectus, the documents incorporated by reference and any free writing prospectus that we have authorized for use in connection with this offering completely and with the understanding that our actual future results may be materially different from what we expect.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which speaks only as of the date of this prospectus supplement.</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we assume no obligation to update any forward-looking statements, or to update the reasons actual results could differ materially from those anticipated in these forward-looking statements, even if new information becomes available in the future. We qualify all of our forward-looking statements by these cautionary statements.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S-v</w:t>
      </w:r>
    </w:p>
    <w:p>
      <w:pPr>
        <w:pStyle w:val="TextBody"/>
        <w:bidi w:val="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jc w:val="center"/>
        <w:rPr>
          <w:rFonts w:ascii="Times New Roman;Times;Serif" w:hAnsi="Times New Roman;Times;Serif"/>
          <w:b/>
          <w:i w:val="false"/>
          <w:caps w:val="false"/>
          <w:smallCaps w:val="false"/>
          <w:sz w:val="20"/>
          <w:bdr w:val="single" w:sz="12" w:space="5" w:color="000000"/>
        </w:rPr>
      </w:pPr>
      <w:bookmarkStart w:id="4" w:name="KSA_003"/>
      <w:bookmarkEnd w:id="4"/>
      <w:r>
        <w:rPr>
          <w:rFonts w:ascii="Times New Roman;Times;Serif" w:hAnsi="Times New Roman;Times;Serif"/>
          <w:b/>
          <w:i w:val="false"/>
          <w:caps w:val="false"/>
          <w:smallCaps w:val="false"/>
          <w:sz w:val="20"/>
          <w:bdr w:val="single" w:sz="12" w:space="5" w:color="000000"/>
        </w:rPr>
        <w:t>PROSPECTUS SUPPLEMENT SUMMARY</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This summary highlights selected information contained elsewhere in or incorporated by reference into this prospectus supplement. It does not contain all of the information you should consider before making an investment decision. Before you decide to invest in our securities, you should carefully read and consider the more detailed information included or incorporated by reference in this prospectus supplement, the accompanying prospectus and any free writing prospectus that we have authorized for use in connection with this offering, including the risk factors included or incorporated by reference herein and therein. You also should carefully read the other information incorporated by reference into this prospectus supplement and the accompanying prospectus, including our financial statements, other information and the exhibits to the registration statement of which this prospectus supplement and the accompanying prospectus are a part. </w:t>
      </w:r>
    </w:p>
    <w:p>
      <w:pPr>
        <w:pStyle w:val="TextBody"/>
        <w:bidi w:val="0"/>
        <w:jc w:val="center"/>
        <w:rPr>
          <w:caps w:val="false"/>
          <w:smallCaps w:val="false"/>
          <w:bdr w:val="single" w:sz="12" w:space="5" w:color="000000"/>
        </w:rPr>
      </w:pPr>
      <w:r>
        <w:rPr>
          <w:caps w:val="false"/>
          <w:smallCaps w:val="false"/>
          <w:bdr w:val="single" w:sz="12" w:space="5" w:color="000000"/>
        </w:rPr>
        <w:t> </w:t>
      </w:r>
    </w:p>
    <w:p>
      <w:pPr>
        <w:pStyle w:val="TextBody"/>
        <w:bidi w:val="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SILVACO GROUP, INC.</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Overview </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provider of technology computer aided design (“TCAD”) software, electronic data automation (“EDA”) software and semiconductor intellectual property (“SIP”). TCAD, EDA and SIP solutions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and integrated circuits, and SIP management tools to enable team collaborations on complex SoC designs. Our customers include semiconductor manufacturers, original equipment manufacturers and design teams who deploy our solutions in production flows across our target markets, including display, power devices, automotive, memory, high performance computing, internet of things and 5G/6G mobile markets.</w:t>
      </w:r>
    </w:p>
    <w:p>
      <w:pPr>
        <w:pStyle w:val="TextBody"/>
        <w:bidi w:val="0"/>
        <w:jc w:val="center"/>
        <w:rPr>
          <w:caps w:val="false"/>
          <w:smallCaps w:val="false"/>
          <w:bdr w:val="single" w:sz="12" w:space="5" w:color="000000"/>
        </w:rPr>
      </w:pPr>
      <w:r>
        <w:rPr>
          <w:caps w:val="false"/>
          <w:smallCaps w:val="false"/>
          <w:bdr w:val="single" w:sz="12" w:space="5" w:color="000000"/>
        </w:rPr>
        <w:t> </w:t>
      </w:r>
    </w:p>
    <w:p>
      <w:pPr>
        <w:pStyle w:val="TextBody"/>
        <w:bidi w:val="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TECH-X ACQUISITION</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April 29, 2025, we announced the acquisition of Tech-X, a provider of multi-physics simulation software used in applications such as photonics, electromagnetics and plasma dynamics, pursuant to a stock purchase agreement by and among the Company and the seller parties thereto (the “Stock Purchase Agreement”). Under the Stock Purchase Agreement, we were obligated to make certain payments of (a) contingent earnout consideration upon the achievement of certain developmental milestones and (b) additional purchase consideration as a result of the post-closing adjustments. The shares being offered pursuant to this prospectus supplement are in satisfaction of the contingent earnout consideration and a portion of the additional purchase consideration owed to John Cary, a party to the Stock Purchase Agreement, in lieu of cash payments.</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Controlled Company Status</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Members of the Pesic family, including Katherine S. Ngai-Pesic, the chair of our board of directors, and Iliya Pesic, a member of our board of directors, are signatories to the Stockholders Agreement, dated as of April 12, 2024, by and among the Company and the signatories thereto (the “Stockholders Agreement”), and together beneficially own approximately 53.8% of our outstanding common stock. Accordingly, we are a “controlled company” within the meaning of the listing rules of the Nasdaq. As such members of the Pesic family are able to control all matters that require approval by our stockholders, including the election and removal of directors, changes to our organizational documents and approval of acquisition offers and other significant corporate transactions.</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Because we are a “controlled company” under the Nasdaq rules, we are permitted to elect not to comply with certain corporate governance requirements thereunder. If at any time we cease to be a controlled company, we will be required to take all action necessary to comply with the corporate governance standards of Nasdaq. The Pesic family’s interests may not coincide with the interests of our other stockholders. See the sections “Risk Factors” in this prospectus, any accompanying prospectus and in the information incorporated by reference herein.</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Jumpstart Our Business Startups Act, or the JOBS Act, was enacted in April 2012 with the intention of encouraging capital formation in the United States and reducing the regulatory burden on newly public companies that qualify as emerging growth companies. We qualify as an emerging growth company within the meaning of the JOBS Act. As an emerging growth company, we intend to take advantage of certain exemptions from various public reporting requirements, including that our internal controls over financial reporting be audited by our independent registered public accounting firm pursuant to Section 404 of the Sarbanes-Oxley Act, that we provide certain disclosures regarding executive compensation and that we hold non-binding stockholder advisory votes on executive compensation and any golden parachute payments not previously approved. We expect to take advantage of these exemptions until we are no longer an emerging growth company.</w:t>
      </w:r>
    </w:p>
    <w:p>
      <w:pPr>
        <w:pStyle w:val="TextBody"/>
        <w:bidi w:val="0"/>
        <w:ind w:left="0" w:right="0" w:firstLine="49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pStyle w:val="TextBody"/>
        <w:bidi w:val="0"/>
        <w:ind w:left="0" w:right="0" w:firstLine="49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take advantage of the foregoing provisions until the last day of our fiscal year following the fifth anniversary of the completion of our initial public offering or such earlier time that we are no longer an emerging growth company. We would cease to be an emerging growth company upon the earliest of: (i) the last day of the first fiscal year in which our annual gross revenues are $1.235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Smaller Reporting Company</w:t>
      </w:r>
    </w:p>
    <w:p>
      <w:pPr>
        <w:pStyle w:val="TextBody"/>
        <w:bidi w:val="0"/>
        <w:ind w:left="0" w:right="0" w:firstLine="49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 xml:space="preserve">Corporate Information </w:t>
      </w:r>
    </w:p>
    <w:p>
      <w:pPr>
        <w:pStyle w:val="TextBody"/>
        <w:bidi w:val="0"/>
        <w:ind w:left="0" w:right="0" w:firstLine="49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Delaware in November 2009. Our principal executive offices are located at 4701 Patrick Henry Drive, Building #23, Santa Clara, CA 95054. Our telephone number is (408) 567-1000, and our website address is www.silvaco.com. The information contained on, or that can be accessed through, our website is not incorporated by reference in this prospectus and does not form a part of this prospectus. You should not consider information contained on our website to be part of this prospectus in deciding whether to purchase shares of our common stock.</w:t>
      </w:r>
    </w:p>
    <w:p>
      <w:pPr>
        <w:pStyle w:val="TextBody"/>
        <w:bidi w:val="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jc w:val="center"/>
        <w:rPr>
          <w:rFonts w:ascii="Times New Roman;Times;Serif" w:hAnsi="Times New Roman;Times;Serif"/>
          <w:b/>
          <w:i w:val="false"/>
          <w:caps w:val="false"/>
          <w:smallCaps w:val="false"/>
          <w:sz w:val="20"/>
          <w:bdr w:val="single" w:sz="12" w:space="5" w:color="000000"/>
        </w:rPr>
      </w:pPr>
      <w:bookmarkStart w:id="5" w:name="KSA_020"/>
      <w:bookmarkEnd w:id="5"/>
      <w:r>
        <w:rPr>
          <w:rFonts w:ascii="Times New Roman;Times;Serif" w:hAnsi="Times New Roman;Times;Serif"/>
          <w:b/>
          <w:i w:val="false"/>
          <w:caps w:val="false"/>
          <w:smallCaps w:val="false"/>
          <w:sz w:val="20"/>
          <w:bdr w:val="single" w:sz="12" w:space="5" w:color="000000"/>
        </w:rPr>
        <w:t>THE OFFERING</w:t>
      </w:r>
    </w:p>
    <w:p>
      <w:pPr>
        <w:pStyle w:val="TextBody"/>
        <w:bidi w:val="0"/>
        <w:ind w:left="0" w:right="0" w:firstLine="720"/>
        <w:jc w:val="left"/>
        <w:rPr>
          <w:caps w:val="false"/>
          <w:smallCaps w:val="false"/>
          <w:bdr w:val="single" w:sz="12" w:space="5" w:color="000000"/>
        </w:rPr>
      </w:pPr>
      <w:r>
        <w:rPr>
          <w:caps w:val="false"/>
          <w:smallCaps w:val="false"/>
          <w:bdr w:val="single" w:sz="12" w:space="5" w:color="000000"/>
        </w:rPr>
        <w:t> </w:t>
      </w:r>
    </w:p>
    <w:tbl>
      <w:tblPr>
        <w:tblW w:w="5515" w:type="dxa"/>
        <w:jc w:val="left"/>
        <w:tblInd w:w="0" w:type="dxa"/>
        <w:tblLayout w:type="fixed"/>
        <w:tblCellMar>
          <w:top w:w="0" w:type="dxa"/>
          <w:left w:w="0" w:type="dxa"/>
          <w:bottom w:w="0" w:type="dxa"/>
          <w:right w:w="0" w:type="dxa"/>
        </w:tblCellMar>
      </w:tblPr>
      <w:tblGrid>
        <w:gridCol w:w="2465"/>
        <w:gridCol w:w="60"/>
        <w:gridCol w:w="2990"/>
      </w:tblGrid>
      <w:tr>
        <w:trPr/>
        <w:tc>
          <w:tcPr>
            <w:tcW w:w="2465" w:type="dxa"/>
            <w:tcBorders/>
            <w:vAlign w:val="center"/>
          </w:tcPr>
          <w:p>
            <w:pPr>
              <w:pStyle w:val="TableContents"/>
              <w:bidi w:val="0"/>
              <w:spacing w:before="0" w:after="283"/>
              <w:jc w:val="left"/>
              <w:rPr>
                <w:sz w:val="20"/>
              </w:rPr>
            </w:pPr>
            <w:r>
              <w:rPr>
                <w:b/>
                <w:sz w:val="20"/>
              </w:rPr>
              <w:t>Common stock offered by us</w:t>
            </w:r>
            <w:r>
              <w:rPr>
                <w:sz w:val="20"/>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both"/>
              <w:rPr>
                <w:sz w:val="20"/>
              </w:rPr>
            </w:pPr>
            <w:r>
              <w:rPr>
                <w:sz w:val="20"/>
              </w:rPr>
              <w:t xml:space="preserve">69,062 shares of our common stock. </w:t>
            </w:r>
          </w:p>
        </w:tc>
      </w:tr>
    </w:tbl>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tbl>
      <w:tblPr>
        <w:tblW w:w="8860" w:type="dxa"/>
        <w:jc w:val="left"/>
        <w:tblInd w:w="0" w:type="dxa"/>
        <w:tblLayout w:type="fixed"/>
        <w:tblCellMar>
          <w:top w:w="0" w:type="dxa"/>
          <w:left w:w="0" w:type="dxa"/>
          <w:bottom w:w="0" w:type="dxa"/>
          <w:right w:w="0" w:type="dxa"/>
        </w:tblCellMar>
      </w:tblPr>
      <w:tblGrid>
        <w:gridCol w:w="5450"/>
        <w:gridCol w:w="60"/>
        <w:gridCol w:w="3350"/>
      </w:tblGrid>
      <w:tr>
        <w:trPr/>
        <w:tc>
          <w:tcPr>
            <w:tcW w:w="5450" w:type="dxa"/>
            <w:tcBorders/>
            <w:vAlign w:val="center"/>
          </w:tcPr>
          <w:p>
            <w:pPr>
              <w:pStyle w:val="TableContents"/>
              <w:bidi w:val="0"/>
              <w:spacing w:before="0" w:after="283"/>
              <w:ind w:left="0" w:right="0" w:hanging="180"/>
              <w:jc w:val="both"/>
              <w:rPr>
                <w:sz w:val="20"/>
              </w:rPr>
            </w:pPr>
            <w:r>
              <w:rPr>
                <w:b/>
                <w:sz w:val="20"/>
              </w:rPr>
              <w:t>Common stock to be outstanding immediately after this offering</w:t>
            </w:r>
            <w:r>
              <w:rPr>
                <w:sz w:val="20"/>
              </w:rPr>
              <w:t> </w:t>
            </w:r>
          </w:p>
        </w:tc>
        <w:tc>
          <w:tcPr>
            <w:tcW w:w="60" w:type="dxa"/>
            <w:tcBorders/>
            <w:vAlign w:val="center"/>
          </w:tcPr>
          <w:p>
            <w:pPr>
              <w:pStyle w:val="TableContents"/>
              <w:bidi w:val="0"/>
              <w:spacing w:before="0" w:after="283"/>
              <w:jc w:val="both"/>
              <w:rPr/>
            </w:pPr>
            <w:r>
              <w:rPr/>
              <w:t> </w:t>
            </w:r>
          </w:p>
        </w:tc>
        <w:tc>
          <w:tcPr>
            <w:tcW w:w="3350" w:type="dxa"/>
            <w:tcBorders/>
            <w:vAlign w:val="center"/>
          </w:tcPr>
          <w:p>
            <w:pPr>
              <w:pStyle w:val="TableContents"/>
              <w:bidi w:val="0"/>
              <w:spacing w:before="0" w:after="283"/>
              <w:jc w:val="both"/>
              <w:rPr>
                <w:sz w:val="20"/>
              </w:rPr>
            </w:pPr>
            <w:r>
              <w:rPr>
                <w:sz w:val="20"/>
              </w:rPr>
              <w:t xml:space="preserve">32,234,263 shares of our common stock. </w:t>
            </w:r>
          </w:p>
        </w:tc>
      </w:tr>
    </w:tbl>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328"/>
        <w:gridCol w:w="60"/>
        <w:gridCol w:w="8817"/>
      </w:tblGrid>
      <w:tr>
        <w:trPr/>
        <w:tc>
          <w:tcPr>
            <w:tcW w:w="1328" w:type="dxa"/>
            <w:tcBorders/>
            <w:vAlign w:val="center"/>
          </w:tcPr>
          <w:p>
            <w:pPr>
              <w:pStyle w:val="TableContents"/>
              <w:bidi w:val="0"/>
              <w:spacing w:before="0" w:after="283"/>
              <w:jc w:val="both"/>
              <w:rPr>
                <w:sz w:val="20"/>
              </w:rPr>
            </w:pPr>
            <w:r>
              <w:rPr>
                <w:b/>
                <w:sz w:val="20"/>
              </w:rPr>
              <w:t>Use of Proceeds</w:t>
            </w:r>
            <w:r>
              <w:rPr>
                <w:sz w:val="20"/>
              </w:rPr>
              <w:t> </w:t>
            </w:r>
          </w:p>
        </w:tc>
        <w:tc>
          <w:tcPr>
            <w:tcW w:w="60" w:type="dxa"/>
            <w:tcBorders/>
            <w:vAlign w:val="center"/>
          </w:tcPr>
          <w:p>
            <w:pPr>
              <w:pStyle w:val="TableContents"/>
              <w:bidi w:val="0"/>
              <w:spacing w:before="0" w:after="283"/>
              <w:jc w:val="both"/>
              <w:rPr/>
            </w:pPr>
            <w:r>
              <w:rPr/>
              <w:t> </w:t>
            </w:r>
          </w:p>
        </w:tc>
        <w:tc>
          <w:tcPr>
            <w:tcW w:w="8817" w:type="dxa"/>
            <w:tcBorders/>
            <w:vAlign w:val="center"/>
          </w:tcPr>
          <w:p>
            <w:pPr>
              <w:pStyle w:val="TableContents"/>
              <w:bidi w:val="0"/>
              <w:spacing w:before="0" w:after="283"/>
              <w:jc w:val="both"/>
              <w:rPr>
                <w:sz w:val="20"/>
              </w:rPr>
            </w:pPr>
            <w:r>
              <w:rPr>
                <w:sz w:val="20"/>
              </w:rPr>
              <w:t>We will not receive any cash proceeds from this offering. See “Use of Proceeds” on page S-5 of this prospectus supplement.</w:t>
            </w:r>
          </w:p>
        </w:tc>
      </w:tr>
    </w:tbl>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900"/>
        <w:gridCol w:w="60"/>
        <w:gridCol w:w="9245"/>
      </w:tblGrid>
      <w:tr>
        <w:trPr/>
        <w:tc>
          <w:tcPr>
            <w:tcW w:w="900" w:type="dxa"/>
            <w:tcBorders/>
            <w:vAlign w:val="center"/>
          </w:tcPr>
          <w:p>
            <w:pPr>
              <w:pStyle w:val="TableContents"/>
              <w:bidi w:val="0"/>
              <w:spacing w:before="0" w:after="283"/>
              <w:jc w:val="both"/>
              <w:rPr>
                <w:sz w:val="20"/>
              </w:rPr>
            </w:pPr>
            <w:r>
              <w:rPr>
                <w:b/>
                <w:sz w:val="20"/>
              </w:rPr>
              <w:t>Risk Factors</w:t>
            </w:r>
            <w:r>
              <w:rPr>
                <w:sz w:val="20"/>
              </w:rPr>
              <w:t> </w:t>
            </w:r>
          </w:p>
        </w:tc>
        <w:tc>
          <w:tcPr>
            <w:tcW w:w="60" w:type="dxa"/>
            <w:tcBorders/>
            <w:vAlign w:val="center"/>
          </w:tcPr>
          <w:p>
            <w:pPr>
              <w:pStyle w:val="TableContents"/>
              <w:bidi w:val="0"/>
              <w:spacing w:before="0" w:after="283"/>
              <w:jc w:val="both"/>
              <w:rPr/>
            </w:pPr>
            <w:r>
              <w:rPr/>
              <w:t> </w:t>
            </w:r>
          </w:p>
        </w:tc>
        <w:tc>
          <w:tcPr>
            <w:tcW w:w="9245" w:type="dxa"/>
            <w:tcBorders/>
            <w:vAlign w:val="center"/>
          </w:tcPr>
          <w:p>
            <w:pPr>
              <w:pStyle w:val="TableContents"/>
              <w:bidi w:val="0"/>
              <w:spacing w:before="0" w:after="283"/>
              <w:jc w:val="both"/>
              <w:rPr>
                <w:sz w:val="20"/>
              </w:rPr>
            </w:pPr>
            <w:r>
              <w:rPr>
                <w:sz w:val="20"/>
              </w:rPr>
              <w:t xml:space="preserve">Investing in our securities involves significant risks. See the disclosure under the heading “Risk Factors” on page S-4 in this prospectus supplement and under similar headings in other documents incorporated by reference into this prospectus supplement. </w:t>
            </w:r>
          </w:p>
        </w:tc>
      </w:tr>
    </w:tbl>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tbl>
      <w:tblPr>
        <w:tblW w:w="8530" w:type="dxa"/>
        <w:jc w:val="left"/>
        <w:tblInd w:w="0" w:type="dxa"/>
        <w:tblLayout w:type="fixed"/>
        <w:tblCellMar>
          <w:top w:w="0" w:type="dxa"/>
          <w:left w:w="0" w:type="dxa"/>
          <w:bottom w:w="0" w:type="dxa"/>
          <w:right w:w="0" w:type="dxa"/>
        </w:tblCellMar>
      </w:tblPr>
      <w:tblGrid>
        <w:gridCol w:w="3050"/>
        <w:gridCol w:w="60"/>
        <w:gridCol w:w="5420"/>
      </w:tblGrid>
      <w:tr>
        <w:trPr/>
        <w:tc>
          <w:tcPr>
            <w:tcW w:w="3050" w:type="dxa"/>
            <w:tcBorders/>
            <w:vAlign w:val="center"/>
          </w:tcPr>
          <w:p>
            <w:pPr>
              <w:pStyle w:val="TableContents"/>
              <w:bidi w:val="0"/>
              <w:spacing w:before="0" w:after="283"/>
              <w:jc w:val="both"/>
              <w:rPr>
                <w:sz w:val="20"/>
              </w:rPr>
            </w:pPr>
            <w:r>
              <w:rPr>
                <w:b/>
                <w:sz w:val="20"/>
              </w:rPr>
              <w:t>The Nasdaq Global Market symbol</w:t>
            </w:r>
            <w:r>
              <w:rPr>
                <w:sz w:val="20"/>
              </w:rPr>
              <w:t> </w:t>
            </w:r>
          </w:p>
        </w:tc>
        <w:tc>
          <w:tcPr>
            <w:tcW w:w="60" w:type="dxa"/>
            <w:tcBorders/>
            <w:vAlign w:val="center"/>
          </w:tcPr>
          <w:p>
            <w:pPr>
              <w:pStyle w:val="TableContents"/>
              <w:bidi w:val="0"/>
              <w:spacing w:before="0" w:after="283"/>
              <w:jc w:val="both"/>
              <w:rPr/>
            </w:pPr>
            <w:r>
              <w:rPr/>
              <w:t> </w:t>
            </w:r>
          </w:p>
        </w:tc>
        <w:tc>
          <w:tcPr>
            <w:tcW w:w="5420" w:type="dxa"/>
            <w:tcBorders/>
            <w:vAlign w:val="center"/>
          </w:tcPr>
          <w:p>
            <w:pPr>
              <w:pStyle w:val="TableContents"/>
              <w:bidi w:val="0"/>
              <w:spacing w:before="0" w:after="283"/>
              <w:jc w:val="both"/>
              <w:rPr>
                <w:sz w:val="20"/>
              </w:rPr>
            </w:pPr>
            <w:r>
              <w:rPr>
                <w:sz w:val="20"/>
              </w:rPr>
              <w:t xml:space="preserve">Our common stock is listed on Nasdaq under the symbol “SVCO.” </w:t>
            </w:r>
          </w:p>
        </w:tc>
      </w:tr>
    </w:tbl>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the number of shares of our common stock to be outstanding after this offering is based on 32,234,263 shares of common stock outstanding as of March 31, 2026, and excludes:</w:t>
      </w:r>
    </w:p>
    <w:p>
      <w:pPr>
        <w:pStyle w:val="TextBody"/>
        <w:bidi w:val="0"/>
        <w:ind w:left="540" w:right="0" w:hanging="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4,104,960 shares of our common stock issuable upon the settlement of restricted stock units granted under the 2024 Stock Incentive Plan, or the 2024 Plan, as of March 31, 2026;</w:t>
            </w:r>
          </w:p>
        </w:tc>
      </w:tr>
    </w:tbl>
    <w:p>
      <w:pPr>
        <w:pStyle w:val="TextBody"/>
        <w:bidi w:val="0"/>
        <w:jc w:val="both"/>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1,124,695 shares of our common stock reserved for future issuance under our 2024 Plan, as of March 31, 2026; and</w:t>
            </w:r>
          </w:p>
        </w:tc>
      </w:tr>
    </w:tbl>
    <w:p>
      <w:pPr>
        <w:pStyle w:val="TextBody"/>
        <w:bidi w:val="0"/>
        <w:jc w:val="both"/>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314,931 shares of our common stock reserved for future issuance under our 2024 Employee Stock Purchase Plan, or the ESPP, as of March 31, 2026.</w:t>
            </w:r>
          </w:p>
        </w:tc>
      </w:tr>
    </w:tbl>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KSA_004"/>
      <w:bookmarkEnd w:id="6"/>
      <w:r>
        <w:rPr>
          <w:rFonts w:ascii="Times New Roman;Times;Serif" w:hAnsi="Times New Roman;Times;Serif"/>
          <w:b/>
          <w:i w:val="false"/>
          <w:caps w:val="false"/>
          <w:smallCaps w:val="false"/>
          <w:sz w:val="20"/>
        </w:rPr>
        <w:t>RISK FACTORS</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Investment in the securities offered pursuant to this prospectus supplement and the accompanying prospectus involves risks. You should carefully consider the risk factors described below, as well as the risk factors described under the caption “Risk Factors” in our most recent Annual Report on Form 10-K and any subsequent Quarterly Reports on Form 10-Q, and the other information contained or incorporated by reference in this prospectus supplement and the accompanying prospectus, including our financial statements and the related notes, as may be updated by our subsequent filings under the Exchange Act, and in any free writing prospectus that we have authorized for use in connection with this offering before acquiring our securities. Our business, financial condition, results of operations or prospects could be materially adversely affected by any of these risks. The trading price of our common stock could decline due to any of these risks, and you may lose all or part of your investment.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Risks Relating to this Offering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you purchase securities in this offering, you will experience immediate and substantial dilution of your investment. </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of our common stock in this offering is substantially higher than the net tangible book value per share of our outstanding common stock prior to this offering. Based on an offering price of $9.26 per share of common stock, you will experience immediate dilution of $7.64 per share, representing the difference between our as adjusted net tangible book value per share after giving effect to this offering and after deducting estimated offering expenses payable by us, and the effective offering price per share. See the section titled “Dilution” below for a more detailed illustration of the dilution you would incur if you purchase shares of common stock in this offering. To the extent that any options or warrants are exercised, any restricted stock units vest and are settled, any new equity awards are issued under our equity incentive plans, or we otherwise issue additional shares of common stock in the future (including shares issued in connection with strategic and other transactions), there will be further dilution to new investors.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may experience dilution if we issue additional equity securities in future fundraising transactions. </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additional capital, we may in the future offer additional shares of our common stock or other securities convertible into or exchangeable for our common stock at prices that may not be the same as the effective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in this offering. If we raise additional capital through the sale of equity or convertible debt securities, you will experience further dilution.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do not currently intend to pay dividends on our common stock, and any return to investors is expected to come, if at all, only from potential increases in the price of our common stock. </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and you should not rely on an investment in our common stock to provide dividend income. We currently intend to retain all of our future earnings, if any, to finance the growth and development of our business and do not anticipate declaring or paying any cash dividends for the foreseeable future. As a result, capital appreciation, if any, of our common stock will be your sole source of gain for the foreseeable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Future sales of our common stock in the public market, or the perception that such sales could occur, could cause the market price of our common stock to drop significantly, even if our business is doing well. </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or other equity-related securities in the public market could occur at any time. These sales, or the perception in the market that the holders of a large number of shares intend to sell shares, could reduce the market price of our common stock or cause it to be highly volatile and impair our ability to raise capital through the sale of additional equity securities. We cannot predict the effect that future sales of common stock or other equity-related securities would have on the market price of our common stock.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 w:name="KSA_005"/>
      <w:bookmarkEnd w:id="7"/>
      <w:r>
        <w:rPr>
          <w:rFonts w:ascii="Times New Roman;Times;Serif" w:hAnsi="Times New Roman;Times;Serif"/>
          <w:b/>
          <w:i w:val="false"/>
          <w:caps w:val="false"/>
          <w:smallCaps w:val="false"/>
          <w:sz w:val="20"/>
        </w:rPr>
        <w:t>USE OF PROCEEDS</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cash proceeds from this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KSA_006"/>
      <w:bookmarkEnd w:id="8"/>
      <w:r>
        <w:rPr>
          <w:rFonts w:ascii="Times New Roman;Times;Serif" w:hAnsi="Times New Roman;Times;Serif"/>
          <w:b/>
          <w:i w:val="false"/>
          <w:caps w:val="false"/>
          <w:smallCaps w:val="false"/>
          <w:sz w:val="20"/>
        </w:rPr>
        <w:t>DILUTION</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in this offering, your ownership interest will be immediately diluted to the extent of the difference between the price per share you pay in this offering and the pro forma as adjusted net tangible book value per share of our common stock immediately after this offering. The historical net tangible book value of our common stock as of March 31, 2026, was $51.8 million, or $1.61 per share of common stock based upon 32,234,263 shares outstanding. Net tangible book value per share is equal to our total tangible assets, less our total liabilities, divided by the total number of shares outstanding as of March 31, 2026.</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our issuance and sale of 69,062 shares of our common stock in this offering at the offering price of $9.26 per share, and after deducting estimated offering expenses payable by us, our as adjusted net tangible book value as of March 31, 2026, would have been $52.4 million, or $1.62 per share of common stock. This represents an immediate increase in as adjusted net tangible book value of $0.02 per share to our existing stockholders and an immediate dilution in as adjusted net tangible book value of $7.64 per share to new investors participating in this offering. The following table illustrates this calculation on a per share basis:</w:t>
      </w:r>
    </w:p>
    <w:p>
      <w:pPr>
        <w:pStyle w:val="TextBody"/>
        <w:bidi w:val="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740"/>
        <w:gridCol w:w="60"/>
        <w:gridCol w:w="140"/>
        <w:gridCol w:w="440"/>
        <w:gridCol w:w="60"/>
        <w:gridCol w:w="60"/>
        <w:gridCol w:w="140"/>
        <w:gridCol w:w="440"/>
        <w:gridCol w:w="75"/>
      </w:tblGrid>
      <w:tr>
        <w:trPr/>
        <w:tc>
          <w:tcPr>
            <w:tcW w:w="6740" w:type="dxa"/>
            <w:tcBorders/>
            <w:shd w:fill="CCEEFF" w:val="clear"/>
            <w:vAlign w:val="center"/>
          </w:tcPr>
          <w:p>
            <w:pPr>
              <w:pStyle w:val="TableContents"/>
              <w:bidi w:val="0"/>
              <w:spacing w:before="0" w:after="283"/>
              <w:jc w:val="left"/>
              <w:rPr/>
            </w:pPr>
            <w:r>
              <w:rPr/>
              <w:t>Offering price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9.26</w:t>
            </w:r>
          </w:p>
        </w:tc>
        <w:tc>
          <w:tcPr>
            <w:tcW w:w="7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Historical net tangible book value per share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40" w:type="dxa"/>
            <w:tcBorders/>
            <w:shd w:fill="FFFFFF" w:val="clear"/>
            <w:vAlign w:val="center"/>
          </w:tcPr>
          <w:p>
            <w:pPr>
              <w:pStyle w:val="TableContents"/>
              <w:bidi w:val="0"/>
              <w:spacing w:before="0" w:after="283"/>
              <w:jc w:val="right"/>
              <w:rPr/>
            </w:pPr>
            <w:r>
              <w:rPr/>
              <w:t>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Increase in net tangible book value per share attributable to the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As adjusted net tangible book value per share, after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1.62</w:t>
            </w:r>
          </w:p>
        </w:tc>
        <w:tc>
          <w:tcPr>
            <w:tcW w:w="75" w:type="dxa"/>
            <w:tcBorders/>
            <w:shd w:fill="CCEEFF" w:val="clear"/>
            <w:vAlign w:val="center"/>
          </w:tcPr>
          <w:p>
            <w:pPr>
              <w:pStyle w:val="TableContents"/>
              <w:bidi w:val="0"/>
              <w:spacing w:before="0" w:after="283"/>
              <w:jc w:val="left"/>
              <w:rPr/>
            </w:pPr>
            <w:r>
              <w:rPr/>
              <w:t> </w:t>
            </w:r>
          </w:p>
        </w:tc>
      </w:tr>
      <w:tr>
        <w:trPr/>
        <w:tc>
          <w:tcPr>
            <w:tcW w:w="6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283"/>
              <w:jc w:val="left"/>
              <w:rPr/>
            </w:pPr>
            <w:r>
              <w:rPr/>
              <w:t>Dilution per share to new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7.64</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pStyle w:val="TextBody"/>
        <w:bidi w:val="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discussion and table above are based on 32,234,263 shares of common stock outstanding as of March 31, 2026, and excludes:</w:t>
      </w:r>
    </w:p>
    <w:p>
      <w:pPr>
        <w:pStyle w:val="TextBody"/>
        <w:bidi w:val="0"/>
        <w:ind w:left="5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05" w:type="dxa"/>
            <w:tcBorders/>
            <w:vAlign w:val="center"/>
          </w:tcPr>
          <w:p>
            <w:pPr>
              <w:pStyle w:val="TableContents"/>
              <w:bidi w:val="0"/>
              <w:spacing w:before="0" w:after="283"/>
              <w:jc w:val="both"/>
              <w:rPr/>
            </w:pPr>
            <w:r>
              <w:rPr/>
              <w:t>4,104,960 shares of our common stock issuable upon the settlement of restricted stock units granted under the 2024 Plan, as of March 31, 2026;</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05" w:type="dxa"/>
            <w:tcBorders/>
            <w:vAlign w:val="center"/>
          </w:tcPr>
          <w:p>
            <w:pPr>
              <w:pStyle w:val="TableContents"/>
              <w:bidi w:val="0"/>
              <w:spacing w:before="0" w:after="283"/>
              <w:jc w:val="both"/>
              <w:rPr/>
            </w:pPr>
            <w:r>
              <w:rPr/>
              <w:t>1,124,695 shares of our common stock reserved for future issuance under our 2024 Plan, as of March 31, 2026; and</w:t>
            </w:r>
          </w:p>
        </w:tc>
      </w:tr>
      <w:tr>
        <w:trPr/>
        <w:tc>
          <w:tcPr>
            <w:tcW w:w="75"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bl>
    <w:tbl>
      <w:tblPr>
        <w:tblW w:w="10143" w:type="dxa"/>
        <w:jc w:val="left"/>
        <w:tblInd w:w="0" w:type="dxa"/>
        <w:tblLayout w:type="fixed"/>
        <w:tblCellMar>
          <w:top w:w="0" w:type="dxa"/>
          <w:left w:w="0" w:type="dxa"/>
          <w:bottom w:w="0" w:type="dxa"/>
          <w:right w:w="0" w:type="dxa"/>
        </w:tblCellMar>
      </w:tblPr>
      <w:tblGrid>
        <w:gridCol w:w="38"/>
        <w:gridCol w:w="125"/>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9980" w:type="dxa"/>
            <w:tcBorders/>
            <w:vAlign w:val="center"/>
          </w:tcPr>
          <w:p>
            <w:pPr>
              <w:pStyle w:val="TableContents"/>
              <w:bidi w:val="0"/>
              <w:spacing w:before="0" w:after="283"/>
              <w:jc w:val="both"/>
              <w:rPr/>
            </w:pPr>
            <w:r>
              <w:rPr/>
              <w:t>314,931 shares of our common stock reserved for future issuance under our ESPP, as of March 31, 2026.</w:t>
            </w:r>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KSA_021"/>
      <w:bookmarkEnd w:id="9"/>
      <w:r>
        <w:rPr>
          <w:rFonts w:ascii="Times New Roman;Times;Serif" w:hAnsi="Times New Roman;Times;Serif"/>
          <w:b/>
          <w:i w:val="false"/>
          <w:caps w:val="false"/>
          <w:smallCaps w:val="false"/>
          <w:sz w:val="20"/>
        </w:rPr>
        <w:t xml:space="preserve">PLAN OF DISTRIBUTION </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selling 69,062 shares of our common stock under this prospectus supplement directly to John Cary, a former equity holder of Tech-X as part of the consideration for our acquisition of Tech-X. We expect that the sale of the shares of our common stock will be completed on or around the date indicated on the cover page of this prospectus supplement.</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cash proceeds from the offering of the shares of common stock. The expenses of the issuance are estimated at $40,000 and are payable by us. The shares of common stock offered hereby are being sold directly by us without the use of underwriters or agents.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by this prospectus supplement will be issued in satisfaction of (a) contingent earnout consideration upon the achievement of certain developmental milestones and (b) a portion of the additional purchase consideration as a result of the post-closing adjustments, in each case in lieu of cash. See “Prospectus Supplement Summary—Tech-X Acquisition” for more information about the Tech-X Acquisition.</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Equiniti Trust Company, LLC (f/k/a American Stock Transfer &amp; Trust Company, LLC).</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Global Market under the symbol “SVCO.” On July 2, 2026, the last reported sale price of our common stock on The Nasdaq Global Market was $11.10 per share.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KSA_022"/>
      <w:bookmarkEnd w:id="10"/>
      <w:r>
        <w:rPr>
          <w:rFonts w:ascii="Times New Roman;Times;Serif" w:hAnsi="Times New Roman;Times;Serif"/>
          <w:b/>
          <w:i w:val="false"/>
          <w:caps w:val="false"/>
          <w:smallCaps w:val="false"/>
          <w:sz w:val="20"/>
        </w:rPr>
        <w:t>LEGAL MATTERS</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White &amp; Case LLP, New York, NY, which has acted as our counsel in connection with this offering, will pass upon the validity of the securities offered hereby.</w:t>
      </w:r>
    </w:p>
    <w:p>
      <w:pPr>
        <w:pStyle w:val="TextBody"/>
        <w:bidi w:val="0"/>
        <w:ind w:left="0" w:right="0" w:firstLine="49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KSA_023"/>
      <w:bookmarkEnd w:id="11"/>
      <w:r>
        <w:rPr>
          <w:rFonts w:ascii="Times New Roman;Times;Serif" w:hAnsi="Times New Roman;Times;Serif"/>
          <w:b/>
          <w:i w:val="false"/>
          <w:caps w:val="false"/>
          <w:smallCaps w:val="false"/>
          <w:sz w:val="20"/>
        </w:rPr>
        <w:t>EXPERTS</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Silvaco Group, Inc. (the “Company”) incorporated in this prospectus by reference from the Annual Report on Form 10-K of the Company for the year ended December 31, 2025, have been audited by Baker Tilly US,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KSA_024"/>
      <w:bookmarkEnd w:id="12"/>
      <w:r>
        <w:rPr>
          <w:rFonts w:ascii="Times New Roman;Times;Serif" w:hAnsi="Times New Roman;Times;Serif"/>
          <w:b/>
          <w:i w:val="false"/>
          <w:caps w:val="false"/>
          <w:smallCaps w:val="false"/>
          <w:sz w:val="20"/>
        </w:rPr>
        <w:t>WHERE YOU CAN FIND ADDITIONAL INFORMATION</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We have also filed a registration statement on Form S-3,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Those filings are also available to the public on, or accessible through, our website under the heading “Investors” at </w:t>
      </w:r>
      <w:r>
        <w:rPr>
          <w:rFonts w:ascii="Times New Roman;Times;Serif" w:hAnsi="Times New Roman;Times;Serif"/>
          <w:b w:val="false"/>
          <w:i/>
          <w:caps w:val="false"/>
          <w:smallCaps w:val="false"/>
          <w:sz w:val="20"/>
        </w:rPr>
        <w:t>https://www.silvaco.com</w:t>
      </w:r>
      <w:r>
        <w:rPr>
          <w:rFonts w:ascii="Times New Roman;Times;Serif" w:hAnsi="Times New Roman;Times;Serif"/>
          <w:b w:val="false"/>
          <w:i w:val="false"/>
          <w:caps w:val="false"/>
          <w:smallCaps w:val="false"/>
          <w:sz w:val="20"/>
        </w:rPr>
        <w:t>. The information on our web site, however, is not, and should not be deemed to be, a part of this prospectus.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KSA_025"/>
      <w:bookmarkEnd w:id="13"/>
      <w:r>
        <w:rPr>
          <w:rFonts w:ascii="Times New Roman;Times;Serif" w:hAnsi="Times New Roman;Times;Serif"/>
          <w:b/>
          <w:i w:val="false"/>
          <w:caps w:val="false"/>
          <w:smallCaps w:val="false"/>
          <w:sz w:val="20"/>
        </w:rPr>
        <w:t>INCORPORATION OF CERTAIN INFORMATION BY REFERENCE</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(excluding any portions of such documents that have been “furnished to” but not “filed with” the SEC for purposes of the Exchange Act): </w:t>
      </w:r>
    </w:p>
    <w:p>
      <w:pPr>
        <w:pStyle w:val="TextBody"/>
        <w:bidi w:val="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pPr>
            <w:r>
              <w:rPr>
                <w:sz w:val="20"/>
              </w:rPr>
              <w:t xml:space="preserve">our Annual Report on </w:t>
            </w:r>
            <w:hyperlink r:id="rId3">
              <w:r>
                <w:rPr>
                  <w:rStyle w:val="InternetLink"/>
                  <w:sz w:val="20"/>
                </w:rPr>
                <w:t>Form 10-K</w:t>
              </w:r>
            </w:hyperlink>
            <w:r>
              <w:rPr/>
              <w:t xml:space="preserve"> </w:t>
            </w:r>
            <w:r>
              <w:rPr>
                <w:sz w:val="20"/>
              </w:rPr>
              <w:t xml:space="preserve">for the fiscal year ended December 31, 2025 (filed with the SEC on March 12, 2026);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the information specifically incorporated by reference into our Annual Report on </w:t>
            </w:r>
            <w:hyperlink r:id="rId4">
              <w:r>
                <w:rPr>
                  <w:rStyle w:val="InternetLink"/>
                  <w:sz w:val="20"/>
                </w:rPr>
                <w:t>Form 10-K</w:t>
              </w:r>
            </w:hyperlink>
            <w:r>
              <w:rPr>
                <w:sz w:val="20"/>
              </w:rPr>
              <w:t xml:space="preserve"> for the fiscal year ended December 31, 2025, from our Definitive Proxy Statement on </w:t>
            </w:r>
            <w:hyperlink r:id="rId5">
              <w:r>
                <w:rPr>
                  <w:rStyle w:val="InternetLink"/>
                  <w:sz w:val="20"/>
                </w:rPr>
                <w:t>Schedule 14A</w:t>
              </w:r>
            </w:hyperlink>
            <w:r>
              <w:rPr/>
              <w:t xml:space="preserve"> </w:t>
            </w:r>
            <w:r>
              <w:rPr>
                <w:sz w:val="20"/>
              </w:rPr>
              <w:t xml:space="preserve">for our 2026 Annual Meeting of Stockholders (filed with the SEC on March 12, 2026); </w:t>
            </w:r>
          </w:p>
        </w:tc>
      </w:tr>
    </w:tbl>
    <w:p>
      <w:pPr>
        <w:pStyle w:val="TextBody"/>
        <w:bidi w:val="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pPr>
            <w:r>
              <w:rPr>
                <w:sz w:val="20"/>
              </w:rPr>
              <w:t xml:space="preserve">our Quarterly Report on </w:t>
            </w:r>
            <w:hyperlink r:id="rId6">
              <w:r>
                <w:rPr>
                  <w:rStyle w:val="InternetLink"/>
                  <w:sz w:val="20"/>
                </w:rPr>
                <w:t>Form 10-Q</w:t>
              </w:r>
            </w:hyperlink>
            <w:r>
              <w:rPr>
                <w:sz w:val="20"/>
              </w:rPr>
              <w:t xml:space="preserve"> for the quarter ended March 31, 2026 (filed with the SEC on May 7, 2026);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Current Reports on Form 8-K or Form 8-K/A, as applicable, filed with the SEC on </w:t>
            </w:r>
            <w:hyperlink r:id="rId7">
              <w:r>
                <w:rPr>
                  <w:rStyle w:val="InternetLink"/>
                  <w:sz w:val="20"/>
                </w:rPr>
                <w:t>March 13, 2026</w:t>
              </w:r>
            </w:hyperlink>
            <w:r>
              <w:rPr>
                <w:sz w:val="20"/>
              </w:rPr>
              <w:t xml:space="preserve">, </w:t>
            </w:r>
            <w:hyperlink r:id="rId8">
              <w:r>
                <w:rPr>
                  <w:rStyle w:val="InternetLink"/>
                  <w:sz w:val="20"/>
                </w:rPr>
                <w:t>April 30, 2026</w:t>
              </w:r>
            </w:hyperlink>
            <w:r>
              <w:rPr>
                <w:sz w:val="20"/>
              </w:rPr>
              <w:t xml:space="preserve">, </w:t>
            </w:r>
            <w:hyperlink r:id="rId9">
              <w:r>
                <w:rPr>
                  <w:rStyle w:val="InternetLink"/>
                  <w:sz w:val="20"/>
                </w:rPr>
                <w:t>May 8, 2026</w:t>
              </w:r>
            </w:hyperlink>
            <w:r>
              <w:rPr>
                <w:sz w:val="20"/>
              </w:rPr>
              <w:t xml:space="preserve">, and </w:t>
            </w:r>
            <w:hyperlink r:id="rId10">
              <w:r>
                <w:rPr>
                  <w:rStyle w:val="InternetLink"/>
                  <w:sz w:val="20"/>
                </w:rPr>
                <w:t>May 27, 2026</w:t>
              </w:r>
            </w:hyperlink>
            <w:r>
              <w:rPr>
                <w:sz w:val="20"/>
              </w:rPr>
              <w:t>.</w:t>
            </w:r>
          </w:p>
        </w:tc>
      </w:tr>
    </w:tbl>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rather than “filed” with the SEC under the Exchange Act, will also be incorporated by reference into this prospectus and deemed to be part of this prospectus from the date of the filing of such reports and documents.</w:t>
      </w:r>
    </w:p>
    <w:p>
      <w:pPr>
        <w:pStyle w:val="TextBody"/>
        <w:bidi w:val="0"/>
        <w:ind w:left="0" w:right="0" w:firstLine="490"/>
        <w:jc w:val="both"/>
        <w:rPr>
          <w:caps w:val="false"/>
          <w:smallCaps w:val="false"/>
        </w:rPr>
      </w:pPr>
      <w:r>
        <w:rPr>
          <w:caps w:val="false"/>
          <w:smallCaps w:val="false"/>
        </w:rPr>
        <w:t> </w:t>
      </w:r>
    </w:p>
    <w:p>
      <w:pPr>
        <w:pStyle w:val="TextBody"/>
        <w:bidi w:val="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ind w:left="0" w:right="0" w:firstLine="490"/>
        <w:jc w:val="center"/>
        <w:rPr>
          <w:caps w:val="false"/>
          <w:smallCaps w:val="false"/>
        </w:rPr>
      </w:pPr>
      <w:r>
        <w:rPr>
          <w:caps w:val="false"/>
          <w:smallCaps w:val="false"/>
        </w:rPr>
        <w:t> </w:t>
      </w:r>
    </w:p>
    <w:p>
      <w:pPr>
        <w:pStyle w:val="TextBody"/>
        <w:bidi w:val="0"/>
        <w:ind w:left="0" w:right="0" w:firstLine="4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Silvaco Group, Inc.</w:t>
      </w:r>
    </w:p>
    <w:p>
      <w:pPr>
        <w:pStyle w:val="TextBody"/>
        <w:bidi w:val="0"/>
        <w:ind w:left="0" w:right="0" w:firstLine="4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4701 Patrick Henry Drive, Building #23</w:t>
      </w:r>
    </w:p>
    <w:p>
      <w:pPr>
        <w:pStyle w:val="TextBody"/>
        <w:bidi w:val="0"/>
        <w:ind w:left="0" w:right="0" w:firstLine="4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 95054</w:t>
      </w:r>
    </w:p>
    <w:p>
      <w:pPr>
        <w:pStyle w:val="TextBody"/>
        <w:bidi w:val="0"/>
        <w:ind w:left="0" w:right="0" w:firstLine="4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 567-1000</w:t>
      </w:r>
    </w:p>
    <w:p>
      <w:pPr>
        <w:pStyle w:val="TextBody"/>
        <w:bidi w:val="0"/>
        <w:ind w:left="0" w:right="0" w:firstLine="4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ind w:left="0" w:right="0" w:firstLine="490"/>
        <w:jc w:val="left"/>
        <w:rPr>
          <w:caps w:val="false"/>
          <w:smallCaps w:val="false"/>
        </w:rPr>
      </w:pPr>
      <w:r>
        <w:rPr>
          <w:caps w:val="false"/>
          <w:smallCaps w:val="false"/>
        </w:rPr>
        <w:t> </w:t>
      </w:r>
    </w:p>
    <w:p>
      <w:pPr>
        <w:pStyle w:val="TextBody"/>
        <w:bidi w:val="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085975"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085975" cy="4572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Silvaco Group,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$50,000,000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by Silvaco Group, Inc., a Delaware corporation (the “Company,” “we,” “us” or “Silvaco”) from time to time in one or more offerings of up to $50,000,000 in the aggregate of the Company’s common stock, par value $0.0001 per share (the “Common Stock”), preferred stock, debt securities, warrants, rights or units.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such securities and the general manner in which we may offer or sell the securities. More specific terms of any securities that we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You should read this prospectus and any prospectus supplement or amendment carefully before you invest in our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under the corporate governance rules of the Nasdaq Global Select Market, (“Nasdaq”) applicable to listed companies, and therefore we are permitted to elect not to comply with certain corporate governance requirements thereunder. Although we believe we meet these requirements, if at any time we cease to be a controlled company, we will be required to take all action necessary to comply with the corporate governance standards of Nasdaq.</w:t>
      </w:r>
    </w:p>
    <w:p>
      <w:pPr>
        <w:pStyle w:val="TextBody"/>
        <w:bidi w:val="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Nasdaq under the symbol “SVCO.” On October 28, 2025, the closing sale price of shares of our Common Stock was $6.31.</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October 28, 2025, the aggregate market value of our outstanding common stock held by non-affiliates was approximately $65,702,074, which was calculated based on 10,412,373 shares of outstanding common stock held by non-affiliates, at a price per share of $6.31, the closing price of our Common Stock on October 28, 2025, the highest closing price of the Company’s Common Stock on Nasdaq during the preceding 60 day trading period. Pursuant to General Instruction I.B.6 of Form S-3, in no event will we sell the securities described in this prospectus in a public primary offering with a value exceeding more than one-third (1/3) of the aggregate market value of our common stock held by non-affiliates in any 12-month period, so long as the aggregate market value of our outstanding Common Stock held by non-affiliates remains below $75,000,000. During the 12 calendar months prior to and including the date of this prospectus, we have offered no securities pursuant to General Instruction I.B.6 of </w:t>
      </w:r>
      <w:r>
        <w:rPr>
          <w:rFonts w:ascii="Times New Roman;Times;Serif" w:hAnsi="Times New Roman;Times;Serif"/>
          <w:b w:val="false"/>
          <w:i w:val="false"/>
          <w:caps w:val="false"/>
          <w:smallCaps w:val="false"/>
          <w:sz w:val="20"/>
          <w:shd w:fill="FFFFFF" w:val="clear"/>
        </w:rPr>
        <w:t>Form S-3.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qualify as an “emerging growth company,” as defined in the Jumpstart Our Business Startups Act of 2012, and, as such, we have elected to provide more limited disclosures than an issuer that would not so qualify in the documents incorporated by reference into this prospectus. In addition, for so long as we remain an emerging growth company, we may take advantage, for a period of time, of certain exceptions from the Sarbanes-Oxley Act of 2002 and the Dodd-Frank Act of 2010.</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Investing in our securities involves risks that are described in the “Risk Factors” section beginning on page 3 of this prospectus and similar sections contained in the documents incorporated by reference into this prospectus.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October 31, 2025.</w:t>
      </w:r>
    </w:p>
    <w:p>
      <w:pPr>
        <w:pStyle w:val="TextBody"/>
        <w:bidi w:val="0"/>
        <w:jc w:val="center"/>
        <w:rPr>
          <w:caps w:val="false"/>
          <w:smallCaps w:val="false"/>
        </w:rPr>
      </w:pPr>
      <w:r>
        <w:rPr>
          <w:caps w:val="false"/>
          <w:smallCaps w:val="false"/>
        </w:rPr>
        <w:t> </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890"/>
        <w:gridCol w:w="245"/>
      </w:tblGrid>
      <w:tr>
        <w:trPr/>
        <w:tc>
          <w:tcPr>
            <w:tcW w:w="6890" w:type="dxa"/>
            <w:tcBorders/>
            <w:shd w:fill="CCEEFF" w:val="clear"/>
            <w:vAlign w:val="center"/>
          </w:tcPr>
          <w:p>
            <w:pPr>
              <w:pStyle w:val="TableContents"/>
              <w:bidi w:val="0"/>
              <w:spacing w:before="0" w:after="283"/>
              <w:jc w:val="left"/>
              <w:rPr/>
            </w:pPr>
            <w:hyperlink w:anchor="KSA_007">
              <w:r>
                <w:rPr>
                  <w:rStyle w:val="InternetLink"/>
                  <w:sz w:val="20"/>
                </w:rPr>
                <w:t>ABOUT THIS PROSPECTUS</w:t>
              </w:r>
            </w:hyperlink>
          </w:p>
        </w:tc>
        <w:tc>
          <w:tcPr>
            <w:tcW w:w="245" w:type="dxa"/>
            <w:tcBorders/>
            <w:shd w:fill="CCEEFF" w:val="clear"/>
            <w:vAlign w:val="center"/>
          </w:tcPr>
          <w:p>
            <w:pPr>
              <w:pStyle w:val="TableContents"/>
              <w:bidi w:val="0"/>
              <w:spacing w:before="0" w:after="283"/>
              <w:jc w:val="center"/>
              <w:rPr>
                <w:sz w:val="20"/>
              </w:rPr>
            </w:pPr>
            <w:r>
              <w:rPr>
                <w:sz w:val="20"/>
              </w:rPr>
              <w:t>ii</w:t>
            </w:r>
          </w:p>
        </w:tc>
      </w:tr>
      <w:tr>
        <w:trPr/>
        <w:tc>
          <w:tcPr>
            <w:tcW w:w="6890" w:type="dxa"/>
            <w:tcBorders/>
            <w:shd w:fill="FFFFFF" w:val="clear"/>
            <w:vAlign w:val="center"/>
          </w:tcPr>
          <w:p>
            <w:pPr>
              <w:pStyle w:val="TableContents"/>
              <w:bidi w:val="0"/>
              <w:spacing w:before="0" w:after="283"/>
              <w:jc w:val="left"/>
              <w:rPr/>
            </w:pPr>
            <w:hyperlink w:anchor="KSA_026">
              <w:r>
                <w:rPr>
                  <w:rStyle w:val="InternetLink"/>
                  <w:sz w:val="20"/>
                </w:rPr>
                <w:t>CAUTIONARY STATEMENT REGARDING FORWARD-LOOKING STATEMENTS</w:t>
              </w:r>
            </w:hyperlink>
          </w:p>
        </w:tc>
        <w:tc>
          <w:tcPr>
            <w:tcW w:w="245" w:type="dxa"/>
            <w:tcBorders/>
            <w:shd w:fill="FFFFFF" w:val="clear"/>
            <w:vAlign w:val="center"/>
          </w:tcPr>
          <w:p>
            <w:pPr>
              <w:pStyle w:val="TableContents"/>
              <w:bidi w:val="0"/>
              <w:spacing w:before="0" w:after="283"/>
              <w:jc w:val="center"/>
              <w:rPr>
                <w:sz w:val="20"/>
              </w:rPr>
            </w:pPr>
            <w:r>
              <w:rPr>
                <w:sz w:val="20"/>
              </w:rPr>
              <w:t>iii</w:t>
            </w:r>
          </w:p>
        </w:tc>
      </w:tr>
      <w:tr>
        <w:trPr/>
        <w:tc>
          <w:tcPr>
            <w:tcW w:w="6890" w:type="dxa"/>
            <w:tcBorders/>
            <w:shd w:fill="CCEEFF" w:val="clear"/>
            <w:vAlign w:val="center"/>
          </w:tcPr>
          <w:p>
            <w:pPr>
              <w:pStyle w:val="TableContents"/>
              <w:bidi w:val="0"/>
              <w:spacing w:before="0" w:after="283"/>
              <w:jc w:val="left"/>
              <w:rPr/>
            </w:pPr>
            <w:hyperlink w:anchor="KSA_008">
              <w:r>
                <w:rPr>
                  <w:rStyle w:val="InternetLink"/>
                  <w:sz w:val="20"/>
                </w:rPr>
                <w:t>SUMMARY</w:t>
              </w:r>
            </w:hyperlink>
          </w:p>
        </w:tc>
        <w:tc>
          <w:tcPr>
            <w:tcW w:w="245" w:type="dxa"/>
            <w:tcBorders/>
            <w:shd w:fill="CCEEFF" w:val="clear"/>
            <w:vAlign w:val="center"/>
          </w:tcPr>
          <w:p>
            <w:pPr>
              <w:pStyle w:val="TableContents"/>
              <w:bidi w:val="0"/>
              <w:spacing w:before="0" w:after="283"/>
              <w:jc w:val="center"/>
              <w:rPr>
                <w:sz w:val="20"/>
              </w:rPr>
            </w:pPr>
            <w:r>
              <w:rPr>
                <w:sz w:val="20"/>
              </w:rPr>
              <w:t>1</w:t>
            </w:r>
          </w:p>
        </w:tc>
      </w:tr>
      <w:tr>
        <w:trPr/>
        <w:tc>
          <w:tcPr>
            <w:tcW w:w="6890" w:type="dxa"/>
            <w:tcBorders/>
            <w:shd w:fill="FFFFFF" w:val="clear"/>
            <w:vAlign w:val="center"/>
          </w:tcPr>
          <w:p>
            <w:pPr>
              <w:pStyle w:val="TableContents"/>
              <w:bidi w:val="0"/>
              <w:spacing w:before="0" w:after="283"/>
              <w:jc w:val="left"/>
              <w:rPr/>
            </w:pPr>
            <w:hyperlink w:anchor="KSA_009">
              <w:r>
                <w:rPr>
                  <w:rStyle w:val="InternetLink"/>
                  <w:sz w:val="20"/>
                </w:rPr>
                <w:t>RISK FACTORS</w:t>
              </w:r>
            </w:hyperlink>
          </w:p>
        </w:tc>
        <w:tc>
          <w:tcPr>
            <w:tcW w:w="245" w:type="dxa"/>
            <w:tcBorders/>
            <w:shd w:fill="FFFFFF" w:val="clear"/>
            <w:vAlign w:val="center"/>
          </w:tcPr>
          <w:p>
            <w:pPr>
              <w:pStyle w:val="TableContents"/>
              <w:bidi w:val="0"/>
              <w:spacing w:before="0" w:after="283"/>
              <w:jc w:val="center"/>
              <w:rPr>
                <w:sz w:val="20"/>
              </w:rPr>
            </w:pPr>
            <w:r>
              <w:rPr>
                <w:sz w:val="20"/>
              </w:rPr>
              <w:t>3</w:t>
            </w:r>
          </w:p>
        </w:tc>
      </w:tr>
      <w:tr>
        <w:trPr/>
        <w:tc>
          <w:tcPr>
            <w:tcW w:w="6890" w:type="dxa"/>
            <w:tcBorders/>
            <w:shd w:fill="CCEEFF" w:val="clear"/>
            <w:vAlign w:val="center"/>
          </w:tcPr>
          <w:p>
            <w:pPr>
              <w:pStyle w:val="TableContents"/>
              <w:bidi w:val="0"/>
              <w:spacing w:before="0" w:after="283"/>
              <w:jc w:val="left"/>
              <w:rPr/>
            </w:pPr>
            <w:hyperlink w:anchor="KSA_010">
              <w:r>
                <w:rPr>
                  <w:rStyle w:val="InternetLink"/>
                  <w:sz w:val="20"/>
                </w:rPr>
                <w:t>USE OF PROCEEDS</w:t>
              </w:r>
            </w:hyperlink>
          </w:p>
        </w:tc>
        <w:tc>
          <w:tcPr>
            <w:tcW w:w="245" w:type="dxa"/>
            <w:tcBorders/>
            <w:shd w:fill="CCEEFF" w:val="clear"/>
            <w:vAlign w:val="center"/>
          </w:tcPr>
          <w:p>
            <w:pPr>
              <w:pStyle w:val="TableContents"/>
              <w:bidi w:val="0"/>
              <w:spacing w:before="0" w:after="283"/>
              <w:jc w:val="center"/>
              <w:rPr>
                <w:sz w:val="20"/>
              </w:rPr>
            </w:pPr>
            <w:r>
              <w:rPr>
                <w:sz w:val="20"/>
              </w:rPr>
              <w:t>4</w:t>
            </w:r>
          </w:p>
        </w:tc>
      </w:tr>
      <w:tr>
        <w:trPr/>
        <w:tc>
          <w:tcPr>
            <w:tcW w:w="6890" w:type="dxa"/>
            <w:tcBorders/>
            <w:shd w:fill="FFFFFF" w:val="clear"/>
            <w:vAlign w:val="center"/>
          </w:tcPr>
          <w:p>
            <w:pPr>
              <w:pStyle w:val="TableContents"/>
              <w:bidi w:val="0"/>
              <w:spacing w:before="0" w:after="283"/>
              <w:jc w:val="left"/>
              <w:rPr/>
            </w:pPr>
            <w:hyperlink w:anchor="KSA_027">
              <w:r>
                <w:rPr>
                  <w:rStyle w:val="InternetLink"/>
                  <w:sz w:val="20"/>
                </w:rPr>
                <w:t>DESCRIPTION OF CAPITAL STOCK</w:t>
              </w:r>
            </w:hyperlink>
          </w:p>
        </w:tc>
        <w:tc>
          <w:tcPr>
            <w:tcW w:w="245" w:type="dxa"/>
            <w:tcBorders/>
            <w:shd w:fill="FFFFFF" w:val="clear"/>
            <w:vAlign w:val="center"/>
          </w:tcPr>
          <w:p>
            <w:pPr>
              <w:pStyle w:val="TableContents"/>
              <w:bidi w:val="0"/>
              <w:spacing w:before="0" w:after="283"/>
              <w:jc w:val="center"/>
              <w:rPr>
                <w:sz w:val="20"/>
              </w:rPr>
            </w:pPr>
            <w:r>
              <w:rPr>
                <w:sz w:val="20"/>
              </w:rPr>
              <w:t>5</w:t>
            </w:r>
          </w:p>
        </w:tc>
      </w:tr>
      <w:tr>
        <w:trPr/>
        <w:tc>
          <w:tcPr>
            <w:tcW w:w="6890" w:type="dxa"/>
            <w:tcBorders/>
            <w:shd w:fill="CCEEFF" w:val="clear"/>
            <w:vAlign w:val="center"/>
          </w:tcPr>
          <w:p>
            <w:pPr>
              <w:pStyle w:val="TableContents"/>
              <w:bidi w:val="0"/>
              <w:spacing w:before="0" w:after="283"/>
              <w:jc w:val="left"/>
              <w:rPr/>
            </w:pPr>
            <w:hyperlink w:anchor="KSA_011">
              <w:r>
                <w:rPr>
                  <w:rStyle w:val="InternetLink"/>
                  <w:sz w:val="20"/>
                </w:rPr>
                <w:t>DESCRIPTION OF DEBT SECURITIES</w:t>
              </w:r>
            </w:hyperlink>
          </w:p>
        </w:tc>
        <w:tc>
          <w:tcPr>
            <w:tcW w:w="245" w:type="dxa"/>
            <w:tcBorders/>
            <w:shd w:fill="CCEEFF" w:val="clear"/>
            <w:vAlign w:val="center"/>
          </w:tcPr>
          <w:p>
            <w:pPr>
              <w:pStyle w:val="TableContents"/>
              <w:bidi w:val="0"/>
              <w:spacing w:before="0" w:after="283"/>
              <w:jc w:val="center"/>
              <w:rPr/>
            </w:pPr>
            <w:r>
              <w:rPr/>
              <w:t>9</w:t>
            </w:r>
          </w:p>
        </w:tc>
      </w:tr>
      <w:tr>
        <w:trPr/>
        <w:tc>
          <w:tcPr>
            <w:tcW w:w="6890" w:type="dxa"/>
            <w:tcBorders/>
            <w:shd w:fill="FFFFFF" w:val="clear"/>
            <w:vAlign w:val="center"/>
          </w:tcPr>
          <w:p>
            <w:pPr>
              <w:pStyle w:val="TableContents"/>
              <w:bidi w:val="0"/>
              <w:spacing w:before="0" w:after="283"/>
              <w:jc w:val="left"/>
              <w:rPr/>
            </w:pPr>
            <w:hyperlink w:anchor="KSA_012">
              <w:r>
                <w:rPr>
                  <w:rStyle w:val="InternetLink"/>
                  <w:sz w:val="20"/>
                </w:rPr>
                <w:t>DESCRIPTION OF WARRANTS</w:t>
              </w:r>
            </w:hyperlink>
          </w:p>
        </w:tc>
        <w:tc>
          <w:tcPr>
            <w:tcW w:w="245" w:type="dxa"/>
            <w:tcBorders/>
            <w:shd w:fill="FFFFFF" w:val="clear"/>
            <w:vAlign w:val="center"/>
          </w:tcPr>
          <w:p>
            <w:pPr>
              <w:pStyle w:val="TableContents"/>
              <w:bidi w:val="0"/>
              <w:spacing w:before="0" w:after="283"/>
              <w:jc w:val="center"/>
              <w:rPr>
                <w:sz w:val="20"/>
              </w:rPr>
            </w:pPr>
            <w:r>
              <w:rPr>
                <w:sz w:val="20"/>
              </w:rPr>
              <w:t>17</w:t>
            </w:r>
          </w:p>
        </w:tc>
      </w:tr>
      <w:tr>
        <w:trPr/>
        <w:tc>
          <w:tcPr>
            <w:tcW w:w="6890" w:type="dxa"/>
            <w:tcBorders/>
            <w:shd w:fill="CCEEFF" w:val="clear"/>
            <w:vAlign w:val="center"/>
          </w:tcPr>
          <w:p>
            <w:pPr>
              <w:pStyle w:val="TableContents"/>
              <w:bidi w:val="0"/>
              <w:spacing w:before="0" w:after="283"/>
              <w:jc w:val="left"/>
              <w:rPr/>
            </w:pPr>
            <w:hyperlink w:anchor="KSA_013">
              <w:r>
                <w:rPr>
                  <w:rStyle w:val="InternetLink"/>
                  <w:sz w:val="20"/>
                </w:rPr>
                <w:t>DESCRIPTION OF RIGHTS</w:t>
              </w:r>
            </w:hyperlink>
          </w:p>
        </w:tc>
        <w:tc>
          <w:tcPr>
            <w:tcW w:w="245" w:type="dxa"/>
            <w:tcBorders/>
            <w:shd w:fill="CCEEFF" w:val="clear"/>
            <w:vAlign w:val="center"/>
          </w:tcPr>
          <w:p>
            <w:pPr>
              <w:pStyle w:val="TableContents"/>
              <w:bidi w:val="0"/>
              <w:spacing w:before="0" w:after="283"/>
              <w:jc w:val="center"/>
              <w:rPr>
                <w:sz w:val="20"/>
              </w:rPr>
            </w:pPr>
            <w:r>
              <w:rPr>
                <w:sz w:val="20"/>
              </w:rPr>
              <w:t>18</w:t>
            </w:r>
          </w:p>
        </w:tc>
      </w:tr>
      <w:tr>
        <w:trPr/>
        <w:tc>
          <w:tcPr>
            <w:tcW w:w="6890" w:type="dxa"/>
            <w:tcBorders/>
            <w:shd w:fill="FFFFFF" w:val="clear"/>
            <w:vAlign w:val="center"/>
          </w:tcPr>
          <w:p>
            <w:pPr>
              <w:pStyle w:val="TableContents"/>
              <w:bidi w:val="0"/>
              <w:spacing w:before="0" w:after="283"/>
              <w:jc w:val="left"/>
              <w:rPr/>
            </w:pPr>
            <w:hyperlink w:anchor="KSA_014">
              <w:r>
                <w:rPr>
                  <w:rStyle w:val="InternetLink"/>
                  <w:sz w:val="20"/>
                </w:rPr>
                <w:t>DESCRIPTION OF UNITS</w:t>
              </w:r>
            </w:hyperlink>
          </w:p>
        </w:tc>
        <w:tc>
          <w:tcPr>
            <w:tcW w:w="245" w:type="dxa"/>
            <w:tcBorders/>
            <w:shd w:fill="FFFFFF" w:val="clear"/>
            <w:vAlign w:val="center"/>
          </w:tcPr>
          <w:p>
            <w:pPr>
              <w:pStyle w:val="TableContents"/>
              <w:bidi w:val="0"/>
              <w:spacing w:before="0" w:after="283"/>
              <w:jc w:val="center"/>
              <w:rPr>
                <w:sz w:val="20"/>
              </w:rPr>
            </w:pPr>
            <w:r>
              <w:rPr>
                <w:sz w:val="20"/>
              </w:rPr>
              <w:t>19</w:t>
            </w:r>
          </w:p>
        </w:tc>
      </w:tr>
      <w:tr>
        <w:trPr/>
        <w:tc>
          <w:tcPr>
            <w:tcW w:w="6890" w:type="dxa"/>
            <w:tcBorders/>
            <w:shd w:fill="CCEEFF" w:val="clear"/>
            <w:vAlign w:val="center"/>
          </w:tcPr>
          <w:p>
            <w:pPr>
              <w:pStyle w:val="TableContents"/>
              <w:bidi w:val="0"/>
              <w:spacing w:before="0" w:after="283"/>
              <w:jc w:val="left"/>
              <w:rPr/>
            </w:pPr>
            <w:hyperlink w:anchor="KSA_015">
              <w:r>
                <w:rPr>
                  <w:rStyle w:val="InternetLink"/>
                  <w:sz w:val="20"/>
                </w:rPr>
                <w:t>GLOBAL SECURITIES</w:t>
              </w:r>
            </w:hyperlink>
          </w:p>
        </w:tc>
        <w:tc>
          <w:tcPr>
            <w:tcW w:w="245" w:type="dxa"/>
            <w:tcBorders/>
            <w:shd w:fill="CCEEFF" w:val="clear"/>
            <w:vAlign w:val="center"/>
          </w:tcPr>
          <w:p>
            <w:pPr>
              <w:pStyle w:val="TableContents"/>
              <w:bidi w:val="0"/>
              <w:spacing w:before="0" w:after="283"/>
              <w:jc w:val="center"/>
              <w:rPr>
                <w:sz w:val="20"/>
              </w:rPr>
            </w:pPr>
            <w:r>
              <w:rPr>
                <w:sz w:val="20"/>
              </w:rPr>
              <w:t>20</w:t>
            </w:r>
          </w:p>
        </w:tc>
      </w:tr>
      <w:tr>
        <w:trPr/>
        <w:tc>
          <w:tcPr>
            <w:tcW w:w="6890" w:type="dxa"/>
            <w:tcBorders/>
            <w:shd w:fill="FFFFFF" w:val="clear"/>
            <w:vAlign w:val="center"/>
          </w:tcPr>
          <w:p>
            <w:pPr>
              <w:pStyle w:val="TableContents"/>
              <w:bidi w:val="0"/>
              <w:spacing w:before="0" w:after="283"/>
              <w:jc w:val="left"/>
              <w:rPr/>
            </w:pPr>
            <w:hyperlink w:anchor="KSA_016">
              <w:r>
                <w:rPr>
                  <w:rStyle w:val="InternetLink"/>
                  <w:sz w:val="20"/>
                </w:rPr>
                <w:t>PLAN OF DISTRIBUTION</w:t>
              </w:r>
            </w:hyperlink>
          </w:p>
        </w:tc>
        <w:tc>
          <w:tcPr>
            <w:tcW w:w="245" w:type="dxa"/>
            <w:tcBorders/>
            <w:shd w:fill="FFFFFF" w:val="clear"/>
            <w:vAlign w:val="center"/>
          </w:tcPr>
          <w:p>
            <w:pPr>
              <w:pStyle w:val="TableContents"/>
              <w:bidi w:val="0"/>
              <w:spacing w:before="0" w:after="283"/>
              <w:jc w:val="center"/>
              <w:rPr>
                <w:sz w:val="20"/>
              </w:rPr>
            </w:pPr>
            <w:r>
              <w:rPr>
                <w:sz w:val="20"/>
              </w:rPr>
              <w:t>23</w:t>
            </w:r>
          </w:p>
        </w:tc>
      </w:tr>
      <w:tr>
        <w:trPr/>
        <w:tc>
          <w:tcPr>
            <w:tcW w:w="6890" w:type="dxa"/>
            <w:tcBorders/>
            <w:shd w:fill="CCEEFF" w:val="clear"/>
            <w:vAlign w:val="center"/>
          </w:tcPr>
          <w:p>
            <w:pPr>
              <w:pStyle w:val="TableContents"/>
              <w:bidi w:val="0"/>
              <w:spacing w:before="0" w:after="283"/>
              <w:jc w:val="left"/>
              <w:rPr/>
            </w:pPr>
            <w:hyperlink w:anchor="KSA_017">
              <w:r>
                <w:rPr>
                  <w:rStyle w:val="InternetLink"/>
                  <w:sz w:val="20"/>
                </w:rPr>
                <w:t>LEGAL MATTERS</w:t>
              </w:r>
            </w:hyperlink>
          </w:p>
        </w:tc>
        <w:tc>
          <w:tcPr>
            <w:tcW w:w="245" w:type="dxa"/>
            <w:tcBorders/>
            <w:shd w:fill="CCEEFF" w:val="clear"/>
            <w:vAlign w:val="center"/>
          </w:tcPr>
          <w:p>
            <w:pPr>
              <w:pStyle w:val="TableContents"/>
              <w:bidi w:val="0"/>
              <w:spacing w:before="0" w:after="283"/>
              <w:jc w:val="center"/>
              <w:rPr>
                <w:sz w:val="20"/>
              </w:rPr>
            </w:pPr>
            <w:r>
              <w:rPr>
                <w:sz w:val="20"/>
              </w:rPr>
              <w:t>25</w:t>
            </w:r>
          </w:p>
        </w:tc>
      </w:tr>
      <w:tr>
        <w:trPr/>
        <w:tc>
          <w:tcPr>
            <w:tcW w:w="6890" w:type="dxa"/>
            <w:tcBorders/>
            <w:shd w:fill="FFFFFF" w:val="clear"/>
            <w:vAlign w:val="center"/>
          </w:tcPr>
          <w:p>
            <w:pPr>
              <w:pStyle w:val="TableContents"/>
              <w:bidi w:val="0"/>
              <w:spacing w:before="0" w:after="283"/>
              <w:jc w:val="left"/>
              <w:rPr/>
            </w:pPr>
            <w:hyperlink w:anchor="KSA_018">
              <w:r>
                <w:rPr>
                  <w:rStyle w:val="InternetLink"/>
                  <w:sz w:val="20"/>
                </w:rPr>
                <w:t>EXPERTS</w:t>
              </w:r>
            </w:hyperlink>
          </w:p>
        </w:tc>
        <w:tc>
          <w:tcPr>
            <w:tcW w:w="245" w:type="dxa"/>
            <w:tcBorders/>
            <w:shd w:fill="FFFFFF" w:val="clear"/>
            <w:vAlign w:val="center"/>
          </w:tcPr>
          <w:p>
            <w:pPr>
              <w:pStyle w:val="TableContents"/>
              <w:bidi w:val="0"/>
              <w:spacing w:before="0" w:after="283"/>
              <w:jc w:val="center"/>
              <w:rPr>
                <w:sz w:val="20"/>
              </w:rPr>
            </w:pPr>
            <w:r>
              <w:rPr>
                <w:sz w:val="20"/>
              </w:rPr>
              <w:t>25</w:t>
            </w:r>
          </w:p>
        </w:tc>
      </w:tr>
      <w:tr>
        <w:trPr/>
        <w:tc>
          <w:tcPr>
            <w:tcW w:w="6890" w:type="dxa"/>
            <w:tcBorders/>
            <w:shd w:fill="CCEEFF" w:val="clear"/>
            <w:vAlign w:val="center"/>
          </w:tcPr>
          <w:p>
            <w:pPr>
              <w:pStyle w:val="TableContents"/>
              <w:bidi w:val="0"/>
              <w:spacing w:before="0" w:after="283"/>
              <w:jc w:val="left"/>
              <w:rPr/>
            </w:pPr>
            <w:hyperlink w:anchor="KSA_019">
              <w:r>
                <w:rPr>
                  <w:rStyle w:val="InternetLink"/>
                  <w:sz w:val="20"/>
                </w:rPr>
                <w:t>WHERE YOU CAN FIND MORE INFORMATION</w:t>
              </w:r>
            </w:hyperlink>
          </w:p>
        </w:tc>
        <w:tc>
          <w:tcPr>
            <w:tcW w:w="245" w:type="dxa"/>
            <w:tcBorders/>
            <w:shd w:fill="CCEEFF" w:val="clear"/>
            <w:vAlign w:val="center"/>
          </w:tcPr>
          <w:p>
            <w:pPr>
              <w:pStyle w:val="TableContents"/>
              <w:bidi w:val="0"/>
              <w:spacing w:before="0" w:after="283"/>
              <w:jc w:val="center"/>
              <w:rPr>
                <w:sz w:val="20"/>
              </w:rPr>
            </w:pPr>
            <w:r>
              <w:rPr>
                <w:sz w:val="20"/>
              </w:rPr>
              <w:t>25</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KSA_007"/>
      <w:bookmarkEnd w:id="14"/>
      <w:r>
        <w:rPr>
          <w:rFonts w:ascii="Times New Roman;Times;Serif" w:hAnsi="Times New Roman;Times;Serif"/>
          <w:b/>
          <w:i w:val="false"/>
          <w:caps w:val="false"/>
          <w:smallCaps w:val="false"/>
          <w:sz w:val="20"/>
        </w:rPr>
        <w:t>ABOUT THIS PROSPECTUS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part of a registration statement on Form S-3 that we filed with the Securities and Exchange Commission (the “SEC”) using a “shelf” registration process. </w:t>
      </w:r>
      <w:r>
        <w:rPr>
          <w:rFonts w:ascii="Times New Roman;Times;Serif" w:hAnsi="Times New Roman;Times;Serif"/>
          <w:b w:val="false"/>
          <w:i w:val="false"/>
          <w:caps w:val="false"/>
          <w:smallCaps w:val="false"/>
          <w:sz w:val="20"/>
          <w:shd w:fill="FFFFFF" w:val="clear"/>
        </w:rPr>
        <w:t xml:space="preserve">By using a shelf registration statement, we may sell securities from time to time and in one or more offerings up to a total dollar amount of $50,000,000 as described in this prospectus.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w:t>
      </w:r>
      <w:r>
        <w:rPr>
          <w:rFonts w:ascii="Times New Roman;Times;Serif" w:hAnsi="Times New Roman;Times;Serif"/>
          <w:b w:val="false"/>
          <w:i w:val="false"/>
          <w:caps w:val="false"/>
          <w:smallCaps w:val="false"/>
          <w:sz w:val="20"/>
        </w:rPr>
        <w:t xml:space="preserve">Any statement contained in this prospectus will be deemed to be modified or superseded for purposes of this prospectus to the extent that a statement contained in such prospectus supplement or free writing prospectus modifies or supersedes such statement. Any statement so modified will be deemed to constitute a part of this prospectus only as so modified, and any statement so superseded will be deemed not to constitute a part of this prospectus. </w:t>
      </w:r>
      <w:r>
        <w:rPr>
          <w:rFonts w:ascii="Times New Roman;Times;Serif" w:hAnsi="Times New Roman;Times;Serif"/>
          <w:b w:val="false"/>
          <w:i w:val="false"/>
          <w:caps w:val="false"/>
          <w:smallCaps w:val="false"/>
          <w:sz w:val="20"/>
          <w:shd w:fill="FFFFFF" w:val="clear"/>
        </w:rPr>
        <w:t xml:space="preserve">If there is any inconsistency between the information in this prospectus and the applicable prospectus supplement or free writing prospectus, you should rely on the prospectus supplement or free writing prospectus, as applicable. </w:t>
      </w:r>
      <w:r>
        <w:rPr>
          <w:rFonts w:ascii="Times New Roman;Times;Serif" w:hAnsi="Times New Roman;Times;Serif"/>
          <w:b w:val="false"/>
          <w:i w:val="false"/>
          <w:caps w:val="false"/>
          <w:smallCaps w:val="false"/>
          <w:sz w:val="20"/>
        </w:rPr>
        <w:t>You should rely only on the information contained in this prospectus, any applicable prospectus supplement or any related free writing prospectus. See “Where You Can Find More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any information or to make any representations other than those contained in this prospectus, any accompanying prospectus supplement or any free writing prospectus we have prepared.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w:t>
      </w:r>
      <w:r>
        <w:rPr>
          <w:rFonts w:ascii="Times New Roman;Times;Serif" w:hAnsi="Times New Roman;Times;Serif"/>
          <w:b w:val="false"/>
          <w:i w:val="false"/>
          <w:caps w:val="false"/>
          <w:smallCaps w:val="false"/>
          <w:sz w:val="20"/>
        </w:rPr>
        <w:t>ce.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used in this prospectus, unless otherwise indicated or the context otherwise requires, references to “we,” “us,” “our,” the “Company,” “Registrant,” and “Silvaco” refer to the consolidated operations of Silvaco Group, Inc. and its consolidated subsidiaries. </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KSA_026"/>
      <w:bookmarkEnd w:id="15"/>
      <w:r>
        <w:rPr>
          <w:rFonts w:ascii="Times New Roman;Times;Serif" w:hAnsi="Times New Roman;Times;Serif"/>
          <w:b/>
          <w:i w:val="false"/>
          <w:caps w:val="false"/>
          <w:smallCaps w:val="false"/>
          <w:sz w:val="20"/>
        </w:rPr>
        <w:t>CAUTIONARY NOTE REGARDING FORWARD-LOOKING STATEMENTS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and the documents incorporated by reference herein and therein contain “forward-looking statements” within the meaning of the Private Securities Litigation Reform Act of 1995. These forward-looking statements reflect the current views of management of Silvaco with respect to, among other things, its operations, its financial performance and its industry. Forward-looking statements include all statements that are not historical facts. In some cases, you can identify these forward-looking statements by the use of words such as “outlook,” “believe(s),” “expect(s),” “potential,” “continue(s),” “may,” “will,” “should,” “could,” “would,” “seek(s),” “predict(s),” “intend(s),” “trends,” “plan(s),” “estimate(s),” “anticipates,” “projection,” “will likely result” and or the negative version of these words or other comparable words of a future or forward-looking nature.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(a) market conditions; (b) anticipated trends, challenges and growth in our business and the markets in which we operate; (c) our ability to appropriately respond to changing technologies on a timely and cost-effective basis; (d) the size and growth potential of the markets for our software solutions, and our ability to serve those markets; (e) our expectations regarding competition in our existing and new markets; (f) the level of demand in our customers’ end markets; (g) regulatory developments in the United States and foreign countries; (h) changes in trade policies, including the imposition of tariffs; (i) proposed new software solutions, services or developments; (j) our ability to attract and retain key management personnel; (k) our customer relationships and our ability to retain and expand our customer relationships; (l) our ability to diversify our customer base and develop relationships in new markets; (m) the strategies, prospects, plans, expectations, and objectives of management for future operations; (n) public health crises, pandemics, and epidemics and their effects on our business and our customers’ businesses; (o) the impact of the current conflicts between Ukraine and Russia and Israel and Hamas and the ongoing trade disputes between the United States and China on our business, financial condition or prospects, (p) delays and disruptions of the global supply chains and the business activities of our suppliers, distributors, customers and other business partners; (q) changes in general economic or business conditions or economic or demographic trends in the United States and foreign countries including changes in interest rates and inflation; (r) our ability to raise additional capital; (s) our ability to accurately forecast demand for our software solutions; (t) our expectations regarding the financial and other impacts of current and future litigation; (u) our expectations regarding the period during which we qualify as an emerging growth company under the JOBS Act and as a smaller reporting company under the Securities Exchange Act of 1934, as amended (the “Exchange Act”); (v) our expectations regarding our ability to obtain, maintain, protect and enforce intellectual property protection for our technology; (w) our status as a controlled company; (x) variations in certain financial statement line items from the estimated figures presented herein upon the completion of the Company’s financial reporting process; (y) our use of the net proceeds from our initial public offering and (z) the factors described in under the headings “Risk Factors” in our Annual Report on Form 10-K and subsequent Quarterly Report on Form 10-Q. These factors should not be construed as exhaustive and should be read in conjunction with the other cautionary statements that are included in this prospectus and any accompanying prospectus supplement and the documents incorporated by reference herein. Silvaco Group, Inc. undertakes no obligation to publicly update or review any forward-looking statements, whether as a result of new information, future developments or otherwise, except as required by law.</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jc w:val="center"/>
        <w:rPr>
          <w:rFonts w:ascii="Times New Roman;Times;Serif" w:hAnsi="Times New Roman;Times;Serif"/>
          <w:b/>
          <w:i w:val="false"/>
          <w:caps w:val="false"/>
          <w:smallCaps w:val="false"/>
          <w:sz w:val="20"/>
          <w:bdr w:val="single" w:sz="12" w:space="5" w:color="000000"/>
        </w:rPr>
      </w:pPr>
      <w:bookmarkStart w:id="16" w:name="KSA_008"/>
      <w:bookmarkEnd w:id="16"/>
      <w:r>
        <w:rPr>
          <w:rFonts w:ascii="Times New Roman;Times;Serif" w:hAnsi="Times New Roman;Times;Serif"/>
          <w:b/>
          <w:i w:val="false"/>
          <w:caps w:val="false"/>
          <w:smallCaps w:val="false"/>
          <w:sz w:val="20"/>
          <w:bdr w:val="single" w:sz="12" w:space="5" w:color="000000"/>
        </w:rPr>
        <w:t>SUMMARY OF THE PROSPECTUS</w:t>
      </w:r>
    </w:p>
    <w:p>
      <w:pPr>
        <w:pStyle w:val="TextBody"/>
        <w:bidi w:val="0"/>
        <w:jc w:val="center"/>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appearing elsewhere in this prospectus or the documents incorporated by reference herein. Because it is a summary, it may not contain all of the information that may be important to you in making an investment decision. Before investing in our securities, you should carefully read this entire prospectus, the registration statement of which this prospectus is a part and the documents incorporated by reference herein carefully, including the information set forth under the heading “Risk Factors” and our financial statements. See the section of this prospectus titled “Where You Can Find More Information.”</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Overview</w:t>
      </w:r>
    </w:p>
    <w:p>
      <w:pPr>
        <w:pStyle w:val="TextBody"/>
        <w:bidi w:val="0"/>
        <w:jc w:val="center"/>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provider of technology computer-aided design, or TCAD, software, electronic data automation, or EDA, software and semiconductor intellectual property, or SIP, solutions that enable semiconductor and photonics companies to increase productivity, accelerate their products’ time-to-market and reduce their development and manufacturing costs. We have decades of expertise developing the “technology behind the chip” and providing solutions that span from atoms to systems, starting with providing software for the atomic level simulation of semiconductor and photonics material for devices, to providing software and SIP for the design and analysis of circuits and system level solutions. We provide SIP for system-on-a-chip (“SoC”), integrated circuits and SIP management tools to enable team collaborations on complex SoC designs. Our customers include semiconductor manufacturers, original equipment manufacturers and original design manufacturers who deploy our solutions in production flows across our target markets, including display, power devices, automotive, memory, high performance computing, Internet of Things and 5G/6G mobile markets.</w:t>
      </w:r>
    </w:p>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Controlled Company Status</w:t>
      </w:r>
    </w:p>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Members of the Pesic family, including Katherine S. Ngai-Pesic, the chair of our board of directors, and Iliya Pesic, a member of our board of directors, are signatories to the Stockholders Agreement, dated as of April 12, 2024, by and among the Company and the signatories thereto (the “Stockholders Agreement”), and together beneficially own approximately 65.5% of our outstanding common stock. Accordingly, we are a “controlled company” within the meaning of the listing rules of the Nasdaq. As such members of the Pesic family are able to control all matters that require approval by our stockholders, including the election and removal of directors, changes to our organizational documents and approval of acquisition offers and other significant corporate transactions.</w:t>
      </w:r>
    </w:p>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Because we are a “controlled company” under the Nasdaq rules, we are permitted to elect not to comply with certain corporate governance requirements thereunder. If at any time we cease to be a controlled company, we will be required to take all action necessary to comply with the corporate governance standards of Nasdaq.</w:t>
      </w:r>
    </w:p>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Pesic family’s interests may not coincide with the interests of our other stockholders. See the sections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in this prospectus, any accompanying prospectus and in the information incorporated by reference herein.</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Jumpstart Our Business Startups Act, or the JOBS Act, was enacted in April 2012 with the intention of encouraging capital formation in the United States and reducing the regulatory burden on newly public companies that qualify as emerging growth companies. We qualify as an emerging growth company within the meaning of the JOBS Act. As an emerging growth company, we intend to take advantage of certain exemptions from various public reporting requirements, including that our internal controls over financial reporting be audited by our independent registered public accounting firm pursuant to Section 404 of the Sarbanes-Oxley Act, that we provide certain disclosures regarding executive compensation and that we hold non-binding stockholder advisory votes on executive compensation and any golden parachute payments not previously approved. We expect to take advantage of these exemptions until we are no longer an emerging growth company.</w:t>
      </w:r>
    </w:p>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may take advantage of the foregoing provisions until the last day of our fiscal year following the fifth anniversary of the completion of our initial public offering or such earlier time that we are no longer an emerging growth company. We would cease to be an emerging growth company upon the earliest of: (i) the last day of the first fiscal year in which our annual gross revenues are $1.235 billion or more; (ii) the date on which we have, during the previous three-year period, issued more than $1.0 billion in non-convertible debt securities; or (iii) the date on which we are deemed to be a “large accelerated filer,” which will occur as of the end of any fiscal year in which we (x) have an aggregate market value of our common stock held by non-affiliates of $700.0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Smaller Reporting Company</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qualify as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jc w:val="center"/>
        <w:rPr>
          <w:caps w:val="false"/>
          <w:smallCaps w:val="false"/>
          <w:bdr w:val="single" w:sz="12" w:space="5" w:color="000000"/>
        </w:rPr>
      </w:pPr>
      <w:r>
        <w:rPr>
          <w:caps w:val="false"/>
          <w:smallCaps w:val="false"/>
          <w:bdr w:val="single" w:sz="12" w:space="5" w:color="000000"/>
        </w:rPr>
        <w:t> </w:t>
      </w:r>
    </w:p>
    <w:p>
      <w:pPr>
        <w:pStyle w:val="TextBody"/>
        <w:bidi w:val="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were incorporated in Delaware in November 2009. Our principal executive offices are located at 4701 Patrick Henry Drive, Building #23, Santa Clara, CA 95054. Our telephone number is (408) 567-1000, and our website address is www.silvaco.com. The information contained on, or that can be accessed through, our website is not incorporated by reference in this prospectus and does not form a part of this prospectus. You should not consider information contained on our website to be part of this prospectus in deciding whether to purchase shares of our common stock.</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KSA_009"/>
      <w:bookmarkEnd w:id="17"/>
      <w:r>
        <w:rPr>
          <w:rFonts w:ascii="Times New Roman;Times;Serif" w:hAnsi="Times New Roman;Times;Serif"/>
          <w:b/>
          <w:i w:val="false"/>
          <w:caps w:val="false"/>
          <w:smallCaps w:val="false"/>
          <w:sz w:val="20"/>
        </w:rPr>
        <w:t>RISK FACTORS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If any of these risks actually occur, it may materially harm our business, financial condition, liquidity and results of operations. As a result, the market price of our securities could decline, and you could lose all or part of your investment. See the sections of this prospectus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Incorporated by Reference</w:t>
      </w:r>
      <w:r>
        <w:rPr>
          <w:rFonts w:ascii="Times New Roman;Times;Serif" w:hAnsi="Times New Roman;Times;Serif"/>
          <w:b w:val="false"/>
          <w:i w:val="false"/>
          <w:caps w:val="false"/>
          <w:smallCaps w:val="false"/>
          <w:sz w:val="20"/>
        </w:rPr>
        <w: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KSA_010"/>
      <w:bookmarkEnd w:id="18"/>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KSA_027"/>
      <w:bookmarkEnd w:id="19"/>
      <w:r>
        <w:rPr>
          <w:rFonts w:ascii="Times New Roman;Times;Serif" w:hAnsi="Times New Roman;Times;Serif"/>
          <w:b/>
          <w:i w:val="false"/>
          <w:caps w:val="false"/>
          <w:smallCaps w:val="false"/>
          <w:sz w:val="20"/>
        </w:rPr>
        <w:t>DESCRIPTION OF CAPITAL STOCK</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and certain provisions of our amended and restated certificate of incorporation, as amended from time to time (the “amended and restated certificate of incorporation”) and amended and restated bylaws, as amended from time to time (the “amended and restated bylaws”) is a summary and is qualified in its entirety by reference to the full text of our amended and restated certificate of incorporation and amended and restated bylaws and applicable provisions of the General Corporation Law of the State of Delaware (the “DGCL”). Our amended and restated certificate of incorporation authorizes capital stock consisting of:</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500,000,000 shares of common stock, $0.0001 par value (30,634,356 shares issued and outstanding as of October 28, 2025);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10,000,000 shares of preferred stock $0.0001 par value (no shares issued and outstanding as of October 28, 2025).</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one vote for each share held of record on all matters submitted to a vote of the stockholders, including the election of directors, and do not have cumulative voting rights. Accordingly, the holders of a majority of the shares of our common stock entitled to vote in any election of directors can elect all of the directors standing for election.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statutory or contractual restrictions on the payment of dividends and to any preferences that may be applicable to any then outstanding preferred stock, the holders of common stock are entitled to receive dividends, if any, as may be declared from time to time by our board of directors out of legally available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conversion or subscription rights, and there is no redemption or sinking fund provision applicable to our common stock. The rights, preferences and privileges of the holders of our common stock will be subject to, and may be adversely affected by, the rights of the holders of shares of any series of our preferred stock that we may designate and issue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Fully Paid and Nonassessable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outstanding shares of common stock are fully paid and nonassessable.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certificate of incorporation, our board of directors have the authority, without further action by the stockholders, to issue up to10,000,000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our common stock and the voting and other rights of the holders of common stock. We have no current plans to issue any shares of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registration rights agreement with certain of our stockholders in connection with our initial public offering pursuant to which such parties have certain demand rights, short-form registration rights and piggyback registration rights from us, subject to customary restrictions and exceptions. All fees, costs and expenses of registrations, other than underwriting discounts and commissions, are expected to be borne by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Our Certificate of Incorporation, Our Bylaws and Delaware Law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Anti-Takeover Law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prior to the date of the transaction, the board of directors of the corporation approved either the business combination or the transaction which resulted in the stockholder becoming an interested stockholder;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interested stockholder owned at least 85% of the voting stock of the corporation outstanding at the time the transaction commenced, excluding for purposes of determining the number of shares outstanding (but not the outstanding voting stock owned by the interested stockholder) shares owned by persons who are directors and also officers and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upon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defines a business combination to include:</w:t>
      </w:r>
    </w:p>
    <w:p>
      <w:pPr>
        <w:pStyle w:val="TextBody"/>
        <w:bidi w:val="0"/>
        <w:jc w:val="both"/>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25"/>
        <w:gridCol w:w="80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045" w:type="dxa"/>
            <w:tcBorders/>
            <w:vAlign w:val="center"/>
          </w:tcPr>
          <w:p>
            <w:pPr>
              <w:pStyle w:val="TableContents"/>
              <w:bidi w:val="0"/>
              <w:spacing w:before="0" w:after="283"/>
              <w:jc w:val="both"/>
              <w:rPr/>
            </w:pPr>
            <w:r>
              <w:rPr/>
              <w:t>any merger or consolidation involving the corporation and the interested stockholder;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sale, transfer, pledge or other disposition of 10% or more of the assets of the corporation to or with the interested stockholder;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05" w:type="dxa"/>
            <w:tcBorders/>
            <w:vAlign w:val="center"/>
          </w:tcPr>
          <w:p>
            <w:pPr>
              <w:pStyle w:val="TableContents"/>
              <w:bidi w:val="0"/>
              <w:spacing w:before="0" w:after="283"/>
              <w:jc w:val="both"/>
              <w:rPr/>
            </w:pPr>
            <w:r>
              <w:rPr/>
              <w:t>subject to exceptions, any transaction involving the corporation that has the effect of increasing the proportionate share of the stock of any class or series of the corporation owned by the interested stockholder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subject to exceptions, any transaction that results in the issuance or transfer by the corporation of any stock of the corporation to the interested stockholder;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receipt by the interested stockholder of the benefit of any loans, advances, guarantees, pledges or other financial benefits provided by or through the corporation.</w:t>
            </w:r>
          </w:p>
        </w:tc>
      </w:tr>
    </w:tbl>
    <w:p>
      <w:pPr>
        <w:pStyle w:val="TextBody"/>
        <w:bidi w:val="0"/>
        <w:spacing w:before="0" w:after="283"/>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Certificate of Incorporation and Amended and Restated Bylaws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stockholders do not have cumulative voting rights, our stockholders holding a majority of the voting power of our shares of common stock outstanding will be able to elect all of our directors. Our amended and restated certificate of incorporation and amended and restated bylaws provide that, after Ms. Kathy Pesic and certain of her family members (the “Pesic Family”) cease to beneficially own, in the aggregate, at least 50% of the voting power of the outstanding shares of our common stock, all stockholder actions must be effected at a duly called meeting of stockholders and not by written consent. Further, for so long as the stockholders agreement with the Pesic Family remains in effect and the Pesic Family owns in the aggregate, at least 25% of the voting power of the then outstanding shares of our capital stock, the prior written approval or consent of the Pesic Family shall be required for us to (i) implement any amendments to our charter or bylaws that would adversely affect the Pesic Family’s rights thereunder, (ii) effect or consummate a change of control or approve another merger, consolidation, business combination, sale or acquisition that results in changes in the rights and privileges of holders of equity securities, and (iii) effect the liquidation or dissolution or winding up of our business operations. A special meeting of stockholders may be called by the majority of our board of directors, chair of our board of directors, our President, or our Chief Executive Officer. These provisions may have the effect of deferring, delaying or discouraging hostile takeovers, or changes in control of us or our management.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certificate of incorporation and amended and restated bylaws provide that the number of directors constituting our board of directors will be permitted to be set only by a resolution adopted by a majority vote of the members of our board of directors then in office, and that our directors may be removed with or without cause by a 66 2/3% stockholder vote. Our amended and restated certificate of incorporation and amended and restated bylaws also provide that vacancies occurring on our board of directors and newly created directorships resulting from an increase in the authorized number of directors may be filled only by vote of a majority of the remaining members of our board of directors, even though less than a quorum. Our amended and restated certificate of incorporation and amended and restated bylaws provide that our board of directors is expressly authorized to adopt, amend or repeal our bylaws, and require a 66 2/3% stockholder vote to amend our bylaws and certain provisions of our certificate of incorporation.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also may inhibit fluctuations in the market price of our stock that could result from actual or rumored takeover attempts.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provide that the Court of Chancery of the State of Delaware (or, if that court lacks subject matter jurisdiction, another federal or state court situated in the State of Delaware) are the exclusive forum for any derivative action or proceeding brought on our behalf; any action asserting a breach of fiduciary duty; any action asserting a claim against us arising pursuant to the DGCL, our amended and restated certificate of incorporation, or our bylaws, or any issue, in one or more series, of all or any of the remaining shares of preferred stock, and, in the resolution or resolutions providing for such issue; any action to interpret, apply, enforce, or determine the validity of our certificate of incorporation or our bylaws; or any action asserting a claim against us that is governed by the internal affairs doctrine. If any such action is filed in a court other than a court located within the State of Delaware (a “Foreign Action”) in the name of any stockholder, that stockholder shall be deemed to have consented to: (x) the personal jurisdiction of the state and federal courts located within the State of Delaware in connection with any action brought in any such court to enforce our choice of forum, or an Enforcement Action, and (y) having service of process made upon such stockholder in any such Enforcement Action by service upon such stockholder’s counsel in the Foreign Action as agent for such stockholder, in each case, to the fullest extent permitted by law. In addition, our amended and restated certificate of incorporation and our amended and restated bylaws provide that, unless we consent in writing to the selection of an alternative forum, the federal district courts of the United States of America are the exclusive forum for the resolution of any complaint asserting a cause of action arising under the Securities Act. Such provision is intended to benefit and may be enforced by us, our officers and directors, employees and agents, including the underwriters and any other professional or entity who has prepared or certified any part of this prospectus. Although our amended and restated certificate of incorporation and amended and restated bylaws contain the choice of forum provisions described above, it is possible that a court could find one or more of these provisions inapplicable for a particular claim or action or that such provision is unenforceable. Further,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our amended and restated certificate of incorporation or amended and restated bylaws preclude stockholders that assert claims under the Exchange Act from bringing such claims in state or federal court, subject to applicable law. Any person or entity purchasing or otherwise acquiring any interest in any of our securities will be deemed to have notice of and consented to the provisions of amended and restated certificate of incorporation or amended and restated bylaws described above. Although we believe these provisions benefit us by providing increased consistency in the application of Delaware law for the specified types of actions and proceedings, the provisions may have the effect of discouraging lawsuits against us or our directors and officers.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Select Market and trades under the symbol “SVCO.”</w:t>
      </w:r>
    </w:p>
    <w:p>
      <w:pPr>
        <w:pStyle w:val="TextBody"/>
        <w:bidi w:val="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Equiniti Trust Company, LLC (f/k/a American Stock Transfer &amp; Trust Company, LLC).</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KSA_011"/>
      <w:bookmarkEnd w:id="20"/>
      <w:r>
        <w:rPr>
          <w:rFonts w:ascii="Times New Roman;Times;Serif" w:hAnsi="Times New Roman;Times;Serif"/>
          <w:b/>
          <w:i w:val="false"/>
          <w:caps w:val="false"/>
          <w:smallCaps w:val="false"/>
          <w:sz w:val="20"/>
        </w:rPr>
        <w:t>DESCRIPTION OF DEBT SECURITIES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jc w:val="both"/>
        <w:rPr>
          <w:caps w:val="false"/>
          <w:smallCaps w:val="false"/>
        </w:rPr>
      </w:pPr>
      <w:r>
        <w:rPr>
          <w:caps w:val="false"/>
          <w:smallCaps w:val="false"/>
        </w:rPr>
        <w:t> </w:t>
      </w:r>
    </w:p>
    <w:tbl>
      <w:tblPr>
        <w:tblW w:w="9183" w:type="dxa"/>
        <w:jc w:val="left"/>
        <w:tblInd w:w="0" w:type="dxa"/>
        <w:tblLayout w:type="fixed"/>
        <w:tblCellMar>
          <w:top w:w="0" w:type="dxa"/>
          <w:left w:w="0" w:type="dxa"/>
          <w:bottom w:w="0" w:type="dxa"/>
          <w:right w:w="0" w:type="dxa"/>
        </w:tblCellMar>
      </w:tblPr>
      <w:tblGrid>
        <w:gridCol w:w="38"/>
        <w:gridCol w:w="125"/>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9020" w:type="dxa"/>
            <w:tcBorders/>
            <w:vAlign w:val="center"/>
          </w:tcPr>
          <w:p>
            <w:pPr>
              <w:pStyle w:val="TableContents"/>
              <w:bidi w:val="0"/>
              <w:spacing w:before="0" w:after="283"/>
              <w:jc w:val="both"/>
              <w:rPr/>
            </w:pPr>
            <w:r>
              <w:rPr/>
              <w:t>the title and ranking of the debt securities (including the terms of any subordination provisions);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price or prices (expressed as a percentage of the principal amount) at which we will sell the debt securities;</w:t>
            </w:r>
          </w:p>
        </w:tc>
      </w:tr>
    </w:tbl>
    <w:p>
      <w:pPr>
        <w:pStyle w:val="TextBody"/>
        <w:bidi w:val="0"/>
        <w:spacing w:before="0" w:after="283"/>
        <w:jc w:val="left"/>
        <w:rPr/>
      </w:pPr>
      <w:r>
        <w:rPr/>
        <w:t> </w:t>
      </w:r>
    </w:p>
    <w:tbl>
      <w:tblPr>
        <w:tblW w:w="6348" w:type="dxa"/>
        <w:jc w:val="left"/>
        <w:tblInd w:w="0" w:type="dxa"/>
        <w:tblLayout w:type="fixed"/>
        <w:tblCellMar>
          <w:top w:w="0" w:type="dxa"/>
          <w:left w:w="0" w:type="dxa"/>
          <w:bottom w:w="0" w:type="dxa"/>
          <w:right w:w="0" w:type="dxa"/>
        </w:tblCellMar>
      </w:tblPr>
      <w:tblGrid>
        <w:gridCol w:w="38"/>
        <w:gridCol w:w="12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6185" w:type="dxa"/>
            <w:tcBorders/>
            <w:vAlign w:val="center"/>
          </w:tcPr>
          <w:p>
            <w:pPr>
              <w:pStyle w:val="TableContents"/>
              <w:bidi w:val="0"/>
              <w:spacing w:before="0" w:after="283"/>
              <w:jc w:val="both"/>
              <w:rPr/>
            </w:pPr>
            <w:r>
              <w:rPr/>
              <w:t>any limit on the aggregate principal amount of the debt securities;</w:t>
            </w:r>
          </w:p>
        </w:tc>
      </w:tr>
    </w:tbl>
    <w:p>
      <w:pPr>
        <w:pStyle w:val="TextBody"/>
        <w:bidi w:val="0"/>
        <w:spacing w:before="0" w:after="283"/>
        <w:jc w:val="left"/>
        <w:rPr/>
      </w:pPr>
      <w:r>
        <w:rPr/>
        <w:t> </w:t>
      </w:r>
    </w:p>
    <w:tbl>
      <w:tblPr>
        <w:tblW w:w="7683" w:type="dxa"/>
        <w:jc w:val="left"/>
        <w:tblInd w:w="0" w:type="dxa"/>
        <w:tblLayout w:type="fixed"/>
        <w:tblCellMar>
          <w:top w:w="0" w:type="dxa"/>
          <w:left w:w="0" w:type="dxa"/>
          <w:bottom w:w="0" w:type="dxa"/>
          <w:right w:w="0" w:type="dxa"/>
        </w:tblCellMar>
      </w:tblPr>
      <w:tblGrid>
        <w:gridCol w:w="38"/>
        <w:gridCol w:w="12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7520" w:type="dxa"/>
            <w:tcBorders/>
            <w:vAlign w:val="center"/>
          </w:tcPr>
          <w:p>
            <w:pPr>
              <w:pStyle w:val="TableContents"/>
              <w:bidi w:val="0"/>
              <w:spacing w:before="0" w:after="283"/>
              <w:jc w:val="both"/>
              <w:rPr/>
            </w:pPr>
            <w:r>
              <w:rPr/>
              <w:t>the date or dates on which the principal of the securities of the series is payable;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period or periods within which, the price or prices at which and the terms and conditions upon which we may redeem the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denominations in which the debt securities will be issued, if other than denominations of $1,000 and any integral multiple thereof;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whether the debt securities will be issued in the form of certificated debt securities or global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portion of principal amount of the debt securities payable upon declaration of acceleration of the maturity date, if other than the principal amount;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designation of the currency, currencies or currency units in which payment of principal of, premium and interest on the debt securities will be made;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283"/>
        <w:jc w:val="left"/>
        <w:rPr/>
      </w:pPr>
      <w:r>
        <w:rPr/>
        <w:t> </w:t>
      </w:r>
    </w:p>
    <w:tbl>
      <w:tblPr>
        <w:tblW w:w="6813" w:type="dxa"/>
        <w:jc w:val="left"/>
        <w:tblInd w:w="0" w:type="dxa"/>
        <w:tblLayout w:type="fixed"/>
        <w:tblCellMar>
          <w:top w:w="0" w:type="dxa"/>
          <w:left w:w="0" w:type="dxa"/>
          <w:bottom w:w="0" w:type="dxa"/>
          <w:right w:w="0" w:type="dxa"/>
        </w:tblCellMar>
      </w:tblPr>
      <w:tblGrid>
        <w:gridCol w:w="38"/>
        <w:gridCol w:w="125"/>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6650" w:type="dxa"/>
            <w:tcBorders/>
            <w:vAlign w:val="center"/>
          </w:tcPr>
          <w:p>
            <w:pPr>
              <w:pStyle w:val="TableContents"/>
              <w:bidi w:val="0"/>
              <w:spacing w:before="0" w:after="283"/>
              <w:jc w:val="both"/>
              <w:rPr/>
            </w:pPr>
            <w:r>
              <w:rPr/>
              <w:t>any provisions relating to any security provided for the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addition to, deletion of or change in the covenants described in this prospectus or in the indenture with respect to the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depositaries, interest rate calculation agents, exchange rate calculation agents or other agents with respect to the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whether any of our direct or indirect subsidiaries will guarantee the debt securities of that series including the terms of subordination, if any, of such guarantees.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Transfer and Exchange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Debt Securities and Book-Entry System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Certificated Debt Securities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with or into, or convey, transfer or lease all or substantially all of our properties and assets to any person (a “successor person”) unless:</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we are the surviving corporation or the successor person (if other than Silvaco) is a corporation, organized and validly existing under the laws of any U.S. domestic jurisdiction and expressly assumes our obligations on the debt securities and under the indenture;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immediately after giving effect to the transaction, no Default (as defined below) or Event of Default shall have occurred and be continuing.</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our subsidiaries may consolidate with, merge into or transfer all or part of its properties to 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any series of debt securities, any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283"/>
        <w:jc w:val="left"/>
        <w:rPr/>
      </w:pPr>
      <w:r>
        <w:rPr/>
        <w:t> </w:t>
      </w:r>
    </w:p>
    <w:tbl>
      <w:tblPr>
        <w:tblW w:w="7533" w:type="dxa"/>
        <w:jc w:val="left"/>
        <w:tblInd w:w="0" w:type="dxa"/>
        <w:tblLayout w:type="fixed"/>
        <w:tblCellMar>
          <w:top w:w="0" w:type="dxa"/>
          <w:left w:w="0" w:type="dxa"/>
          <w:bottom w:w="0" w:type="dxa"/>
          <w:right w:w="0" w:type="dxa"/>
        </w:tblCellMar>
      </w:tblPr>
      <w:tblGrid>
        <w:gridCol w:w="38"/>
        <w:gridCol w:w="125"/>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7370" w:type="dxa"/>
            <w:tcBorders/>
            <w:vAlign w:val="center"/>
          </w:tcPr>
          <w:p>
            <w:pPr>
              <w:pStyle w:val="TableContents"/>
              <w:bidi w:val="0"/>
              <w:spacing w:before="0" w:after="283"/>
              <w:jc w:val="both"/>
              <w:rPr/>
            </w:pPr>
            <w:r>
              <w:rPr/>
              <w:t>default in the payment of principal of any security of that series at its maturity;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Silvaco and the trustee receives written notice from the holders of not less than 25% in principal amount of the outstanding debt securities of that series as provided in the indenture;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0" w:right="0" w:hanging="0"/>
        <w:jc w:val="left"/>
        <w:rPr/>
      </w:pPr>
      <w:r>
        <w:rPr/>
        <w:t> </w:t>
      </w:r>
    </w:p>
    <w:tbl>
      <w:tblPr>
        <w:tblW w:w="9513" w:type="dxa"/>
        <w:jc w:val="left"/>
        <w:tblInd w:w="0" w:type="dxa"/>
        <w:tblLayout w:type="fixed"/>
        <w:tblCellMar>
          <w:top w:w="0" w:type="dxa"/>
          <w:left w:w="0" w:type="dxa"/>
          <w:bottom w:w="0" w:type="dxa"/>
          <w:right w:w="0" w:type="dxa"/>
        </w:tblCellMar>
      </w:tblPr>
      <w:tblGrid>
        <w:gridCol w:w="38"/>
        <w:gridCol w:w="125"/>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9350" w:type="dxa"/>
            <w:tcBorders/>
            <w:vAlign w:val="center"/>
          </w:tcPr>
          <w:p>
            <w:pPr>
              <w:pStyle w:val="TableContents"/>
              <w:bidi w:val="0"/>
              <w:spacing w:before="0" w:after="283"/>
              <w:jc w:val="both"/>
              <w:rPr/>
            </w:pPr>
            <w:r>
              <w:rPr/>
              <w:t>certain voluntary or involuntary events of bankruptcy, insolvency or reorganization of Silvaco;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other Event of Default provided with respect to debt securities of that series that is described in the applicable prospectus supplement.</w:t>
            </w:r>
          </w:p>
        </w:tc>
      </w:tr>
    </w:tbl>
    <w:p>
      <w:pPr>
        <w:pStyle w:val="TextBody"/>
        <w:bidi w:val="0"/>
        <w:jc w:val="both"/>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ind w:left="0" w:right="0" w:firstLine="63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that holder has previously given to the trustee written notice of a continuing Event of Default with respect to debt securities of that series; and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amend or supplement the indenture or the debt securities of any series without the consent of any holder of any debt security:</w:t>
      </w:r>
    </w:p>
    <w:p>
      <w:pPr>
        <w:pStyle w:val="TextBody"/>
        <w:bidi w:val="0"/>
        <w:jc w:val="left"/>
        <w:rPr>
          <w:caps w:val="false"/>
          <w:smallCaps w:val="false"/>
        </w:rPr>
      </w:pPr>
      <w:r>
        <w:rPr>
          <w:caps w:val="false"/>
          <w:smallCaps w:val="false"/>
        </w:rPr>
        <w:t> </w:t>
      </w:r>
    </w:p>
    <w:tbl>
      <w:tblPr>
        <w:tblW w:w="4593" w:type="dxa"/>
        <w:jc w:val="left"/>
        <w:tblInd w:w="0" w:type="dxa"/>
        <w:tblLayout w:type="fixed"/>
        <w:tblCellMar>
          <w:top w:w="0" w:type="dxa"/>
          <w:left w:w="0" w:type="dxa"/>
          <w:bottom w:w="0" w:type="dxa"/>
          <w:right w:w="0" w:type="dxa"/>
        </w:tblCellMar>
      </w:tblPr>
      <w:tblGrid>
        <w:gridCol w:w="38"/>
        <w:gridCol w:w="12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430" w:type="dxa"/>
            <w:tcBorders/>
            <w:vAlign w:val="center"/>
          </w:tcPr>
          <w:p>
            <w:pPr>
              <w:pStyle w:val="TableContents"/>
              <w:bidi w:val="0"/>
              <w:spacing w:before="0" w:after="283"/>
              <w:jc w:val="both"/>
              <w:rPr/>
            </w:pPr>
            <w:r>
              <w:rPr/>
              <w:t>to cure any ambiguity, defect or inconsistency;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to comply with covenants in the indenture described above under the heading “Consolidation, Merger and Sale of Assets”;</w:t>
            </w:r>
          </w:p>
        </w:tc>
      </w:tr>
    </w:tbl>
    <w:p>
      <w:pPr>
        <w:pStyle w:val="TextBody"/>
        <w:bidi w:val="0"/>
        <w:spacing w:before="0" w:after="283"/>
        <w:jc w:val="left"/>
        <w:rPr/>
      </w:pPr>
      <w:r>
        <w:rPr/>
        <w:t> </w:t>
      </w:r>
    </w:p>
    <w:tbl>
      <w:tblPr>
        <w:tblW w:w="8448" w:type="dxa"/>
        <w:jc w:val="left"/>
        <w:tblInd w:w="0" w:type="dxa"/>
        <w:tblLayout w:type="fixed"/>
        <w:tblCellMar>
          <w:top w:w="0" w:type="dxa"/>
          <w:left w:w="0" w:type="dxa"/>
          <w:bottom w:w="0" w:type="dxa"/>
          <w:right w:w="0" w:type="dxa"/>
        </w:tblCellMar>
      </w:tblPr>
      <w:tblGrid>
        <w:gridCol w:w="38"/>
        <w:gridCol w:w="125"/>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285" w:type="dxa"/>
            <w:tcBorders/>
            <w:vAlign w:val="center"/>
          </w:tcPr>
          <w:p>
            <w:pPr>
              <w:pStyle w:val="TableContents"/>
              <w:bidi w:val="0"/>
              <w:spacing w:before="0" w:after="283"/>
              <w:jc w:val="both"/>
              <w:rPr/>
            </w:pPr>
            <w:r>
              <w:rPr/>
              <w:t>to provide for uncertificated securities in addition to or in place of certificated securities;</w:t>
            </w:r>
          </w:p>
        </w:tc>
      </w:tr>
    </w:tbl>
    <w:p>
      <w:pPr>
        <w:pStyle w:val="TextBody"/>
        <w:bidi w:val="0"/>
        <w:spacing w:before="0" w:after="283"/>
        <w:jc w:val="left"/>
        <w:rPr/>
      </w:pPr>
      <w:r>
        <w:rPr/>
        <w:t> </w:t>
      </w:r>
    </w:p>
    <w:tbl>
      <w:tblPr>
        <w:tblW w:w="9543" w:type="dxa"/>
        <w:jc w:val="left"/>
        <w:tblInd w:w="0" w:type="dxa"/>
        <w:tblLayout w:type="fixed"/>
        <w:tblCellMar>
          <w:top w:w="0" w:type="dxa"/>
          <w:left w:w="0" w:type="dxa"/>
          <w:bottom w:w="0" w:type="dxa"/>
          <w:right w:w="0" w:type="dxa"/>
        </w:tblCellMar>
      </w:tblPr>
      <w:tblGrid>
        <w:gridCol w:w="38"/>
        <w:gridCol w:w="125"/>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9380" w:type="dxa"/>
            <w:tcBorders/>
            <w:vAlign w:val="center"/>
          </w:tcPr>
          <w:p>
            <w:pPr>
              <w:pStyle w:val="TableContents"/>
              <w:bidi w:val="0"/>
              <w:spacing w:before="0" w:after="283"/>
              <w:jc w:val="both"/>
              <w:rPr/>
            </w:pPr>
            <w:r>
              <w:rPr/>
              <w:t>to add guarantees with respect to debt securities of any series or secure debt securities of any series;</w:t>
            </w:r>
          </w:p>
        </w:tc>
      </w:tr>
    </w:tbl>
    <w:p>
      <w:pPr>
        <w:pStyle w:val="TextBody"/>
        <w:bidi w:val="0"/>
        <w:spacing w:before="0" w:after="283"/>
        <w:jc w:val="left"/>
        <w:rPr/>
      </w:pPr>
      <w:r>
        <w:rPr/>
        <w:t> </w:t>
      </w:r>
    </w:p>
    <w:tbl>
      <w:tblPr>
        <w:tblW w:w="5898" w:type="dxa"/>
        <w:jc w:val="left"/>
        <w:tblInd w:w="0" w:type="dxa"/>
        <w:tblLayout w:type="fixed"/>
        <w:tblCellMar>
          <w:top w:w="0" w:type="dxa"/>
          <w:left w:w="0" w:type="dxa"/>
          <w:bottom w:w="0" w:type="dxa"/>
          <w:right w:w="0" w:type="dxa"/>
        </w:tblCellMar>
      </w:tblPr>
      <w:tblGrid>
        <w:gridCol w:w="38"/>
        <w:gridCol w:w="125"/>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735" w:type="dxa"/>
            <w:tcBorders/>
            <w:vAlign w:val="center"/>
          </w:tcPr>
          <w:p>
            <w:pPr>
              <w:pStyle w:val="TableContents"/>
              <w:bidi w:val="0"/>
              <w:spacing w:before="0" w:after="283"/>
              <w:jc w:val="both"/>
              <w:rPr/>
            </w:pPr>
            <w:r>
              <w:rPr/>
              <w:t>to surrender any of our rights or powers under the indenture;</w:t>
            </w:r>
          </w:p>
        </w:tc>
      </w:tr>
    </w:tbl>
    <w:p>
      <w:pPr>
        <w:pStyle w:val="TextBody"/>
        <w:bidi w:val="0"/>
        <w:spacing w:before="0" w:after="283"/>
        <w:jc w:val="left"/>
        <w:rPr/>
      </w:pPr>
      <w:r>
        <w:rPr/>
        <w:t> </w:t>
      </w:r>
    </w:p>
    <w:tbl>
      <w:tblPr>
        <w:tblW w:w="9348" w:type="dxa"/>
        <w:jc w:val="left"/>
        <w:tblInd w:w="0" w:type="dxa"/>
        <w:tblLayout w:type="fixed"/>
        <w:tblCellMar>
          <w:top w:w="0" w:type="dxa"/>
          <w:left w:w="0" w:type="dxa"/>
          <w:bottom w:w="0" w:type="dxa"/>
          <w:right w:w="0" w:type="dxa"/>
        </w:tblCellMar>
      </w:tblPr>
      <w:tblGrid>
        <w:gridCol w:w="38"/>
        <w:gridCol w:w="125"/>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9185" w:type="dxa"/>
            <w:tcBorders/>
            <w:vAlign w:val="center"/>
          </w:tcPr>
          <w:p>
            <w:pPr>
              <w:pStyle w:val="TableContents"/>
              <w:bidi w:val="0"/>
              <w:spacing w:before="0" w:after="283"/>
              <w:jc w:val="both"/>
              <w:rPr/>
            </w:pPr>
            <w:r>
              <w:rPr/>
              <w:t>to add covenants or events of default for the benefit of the holders of debt securities of any series;</w:t>
            </w:r>
          </w:p>
        </w:tc>
      </w:tr>
    </w:tbl>
    <w:p>
      <w:pPr>
        <w:pStyle w:val="TextBody"/>
        <w:bidi w:val="0"/>
        <w:spacing w:before="0" w:after="283"/>
        <w:jc w:val="left"/>
        <w:rPr/>
      </w:pPr>
      <w:r>
        <w:rPr/>
        <w:t> </w:t>
      </w:r>
    </w:p>
    <w:tbl>
      <w:tblPr>
        <w:tblW w:w="6798" w:type="dxa"/>
        <w:jc w:val="left"/>
        <w:tblInd w:w="0" w:type="dxa"/>
        <w:tblLayout w:type="fixed"/>
        <w:tblCellMar>
          <w:top w:w="0" w:type="dxa"/>
          <w:left w:w="0" w:type="dxa"/>
          <w:bottom w:w="0" w:type="dxa"/>
          <w:right w:w="0" w:type="dxa"/>
        </w:tblCellMar>
      </w:tblPr>
      <w:tblGrid>
        <w:gridCol w:w="38"/>
        <w:gridCol w:w="125"/>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6635" w:type="dxa"/>
            <w:tcBorders/>
            <w:vAlign w:val="center"/>
          </w:tcPr>
          <w:p>
            <w:pPr>
              <w:pStyle w:val="TableContents"/>
              <w:bidi w:val="0"/>
              <w:spacing w:before="0" w:after="283"/>
              <w:jc w:val="both"/>
              <w:rPr/>
            </w:pPr>
            <w:r>
              <w:rPr/>
              <w:t>to comply with the applicable procedures of the applicable depositary;</w:t>
            </w:r>
          </w:p>
        </w:tc>
      </w:tr>
    </w:tbl>
    <w:p>
      <w:pPr>
        <w:pStyle w:val="TextBody"/>
        <w:bidi w:val="0"/>
        <w:spacing w:before="0" w:after="283"/>
        <w:jc w:val="left"/>
        <w:rPr/>
      </w:pPr>
      <w:r>
        <w:rPr/>
        <w:t> </w:t>
      </w:r>
    </w:p>
    <w:tbl>
      <w:tblPr>
        <w:tblW w:w="8853" w:type="dxa"/>
        <w:jc w:val="left"/>
        <w:tblInd w:w="0" w:type="dxa"/>
        <w:tblLayout w:type="fixed"/>
        <w:tblCellMar>
          <w:top w:w="0" w:type="dxa"/>
          <w:left w:w="0" w:type="dxa"/>
          <w:bottom w:w="0" w:type="dxa"/>
          <w:right w:w="0" w:type="dxa"/>
        </w:tblCellMar>
      </w:tblPr>
      <w:tblGrid>
        <w:gridCol w:w="38"/>
        <w:gridCol w:w="125"/>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690" w:type="dxa"/>
            <w:tcBorders/>
            <w:vAlign w:val="center"/>
          </w:tcPr>
          <w:p>
            <w:pPr>
              <w:pStyle w:val="TableContents"/>
              <w:bidi w:val="0"/>
              <w:spacing w:before="0" w:after="283"/>
              <w:jc w:val="both"/>
              <w:rPr/>
            </w:pPr>
            <w:r>
              <w:rPr/>
              <w:t>to make any change that does not adversely affect the rights of any holder of debt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to provide for the issuance of and establish the form and terms and conditions of debt securities of any series as permitted by the indenture;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to effect the appointment of a successor trustee with respect to the debt securities of any series and to add to or change any of the provisions of the indenture to provide for or facilitate administration by more than one trustee;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to comply with requirements of the SEC in order to effect or maintain the qualification of the indenture under the Trust Indenture Act of 1939, as amended.</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pStyle w:val="TextBody"/>
        <w:bidi w:val="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125"/>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0" w:type="dxa"/>
            <w:tcBorders/>
            <w:vAlign w:val="center"/>
          </w:tcPr>
          <w:p>
            <w:pPr>
              <w:pStyle w:val="TableContents"/>
              <w:bidi w:val="0"/>
              <w:spacing w:before="0" w:after="283"/>
              <w:jc w:val="both"/>
              <w:rPr/>
            </w:pPr>
            <w:r>
              <w:rPr/>
              <w:t>reduce the amount of debt securities whose holders must consent to an amendment, supplement or waiver;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reduce the rate of or extend the time for payment of interest (including default interest) on any debt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283"/>
        <w:jc w:val="left"/>
        <w:rPr/>
      </w:pPr>
      <w:r>
        <w:rPr/>
        <w:t> </w:t>
      </w:r>
    </w:p>
    <w:tbl>
      <w:tblPr>
        <w:tblW w:w="8538" w:type="dxa"/>
        <w:jc w:val="left"/>
        <w:tblInd w:w="0" w:type="dxa"/>
        <w:tblLayout w:type="fixed"/>
        <w:tblCellMar>
          <w:top w:w="0" w:type="dxa"/>
          <w:left w:w="0" w:type="dxa"/>
          <w:bottom w:w="0" w:type="dxa"/>
          <w:right w:w="0" w:type="dxa"/>
        </w:tblCellMar>
      </w:tblPr>
      <w:tblGrid>
        <w:gridCol w:w="38"/>
        <w:gridCol w:w="125"/>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375" w:type="dxa"/>
            <w:tcBorders/>
            <w:vAlign w:val="center"/>
          </w:tcPr>
          <w:p>
            <w:pPr>
              <w:pStyle w:val="TableContents"/>
              <w:bidi w:val="0"/>
              <w:spacing w:before="0" w:after="283"/>
              <w:jc w:val="both"/>
              <w:rPr/>
            </w:pPr>
            <w:r>
              <w:rPr/>
              <w:t>reduce the principal amount of discount securities payable upon acceleration of maturity;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make the principal of or premium or interest on any debt security payable in currency other than that stated in the debt security;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tc>
      </w:tr>
    </w:tbl>
    <w:p>
      <w:pPr>
        <w:pStyle w:val="TextBody"/>
        <w:bidi w:val="0"/>
        <w:spacing w:before="0" w:after="283"/>
        <w:jc w:val="left"/>
        <w:rPr/>
      </w:pPr>
      <w:r>
        <w:rPr/>
        <w:t> </w:t>
      </w:r>
    </w:p>
    <w:tbl>
      <w:tblPr>
        <w:tblW w:w="6093" w:type="dxa"/>
        <w:jc w:val="left"/>
        <w:tblInd w:w="0" w:type="dxa"/>
        <w:tblLayout w:type="fixed"/>
        <w:tblCellMar>
          <w:top w:w="0" w:type="dxa"/>
          <w:left w:w="0" w:type="dxa"/>
          <w:bottom w:w="0" w:type="dxa"/>
          <w:right w:w="0" w:type="dxa"/>
        </w:tblCellMar>
      </w:tblPr>
      <w:tblGrid>
        <w:gridCol w:w="38"/>
        <w:gridCol w:w="12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930" w:type="dxa"/>
            <w:tcBorders/>
            <w:vAlign w:val="center"/>
          </w:tcPr>
          <w:p>
            <w:pPr>
              <w:pStyle w:val="TableContents"/>
              <w:bidi w:val="0"/>
              <w:spacing w:before="0" w:after="283"/>
              <w:jc w:val="both"/>
              <w:rPr/>
            </w:pPr>
            <w:r>
              <w:rPr/>
              <w:t>waive a redemption payment with respect to any debt security.</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Defeasance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unless otherwise provided by the terms of the applicable series of debt securities, we may be discharged 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of Certain Covenants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unless otherwise provided by the terms of the applicable series of debt securities, upon compliance with certain conditions: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omission to comply with those covenants will not constitute a Default or an Event of Default with respect to the debt securities of that series (“covenant defeasance”).</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or Securityholders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KSA_012"/>
      <w:bookmarkEnd w:id="21"/>
      <w:r>
        <w:rPr>
          <w:rFonts w:ascii="Times New Roman;Times;Serif" w:hAnsi="Times New Roman;Times;Serif"/>
          <w:b/>
          <w:i w:val="false"/>
          <w:caps w:val="false"/>
          <w:smallCaps w:val="false"/>
          <w:sz w:val="20"/>
        </w:rPr>
        <w:t>DESCRIPTION OF WARRANTS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offer warrants from time to time in one or more series. The following description summarizes the general terms and provisions of the warrants we may offer pursuant to this prospectus that are common to all series.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series of warrants in respect of which this prospectus is being delivered, including the following:</w:t>
      </w:r>
    </w:p>
    <w:p>
      <w:pPr>
        <w:pStyle w:val="TextBody"/>
        <w:bidi w:val="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125"/>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2255" w:type="dxa"/>
            <w:tcBorders/>
            <w:vAlign w:val="center"/>
          </w:tcPr>
          <w:p>
            <w:pPr>
              <w:pStyle w:val="TableContents"/>
              <w:bidi w:val="0"/>
              <w:spacing w:before="0" w:after="283"/>
              <w:jc w:val="both"/>
              <w:rPr/>
            </w:pPr>
            <w:r>
              <w:rPr/>
              <w:t>the title of the warrants;</w:t>
            </w:r>
          </w:p>
        </w:tc>
      </w:tr>
    </w:tbl>
    <w:p>
      <w:pPr>
        <w:pStyle w:val="TextBody"/>
        <w:bidi w:val="0"/>
        <w:jc w:val="both"/>
        <w:rPr/>
      </w:pPr>
      <w:r>
        <w:rPr/>
        <w:t> </w:t>
      </w:r>
    </w:p>
    <w:tbl>
      <w:tblPr>
        <w:tblW w:w="3423" w:type="dxa"/>
        <w:jc w:val="left"/>
        <w:tblInd w:w="0" w:type="dxa"/>
        <w:tblLayout w:type="fixed"/>
        <w:tblCellMar>
          <w:top w:w="0" w:type="dxa"/>
          <w:left w:w="0" w:type="dxa"/>
          <w:bottom w:w="0" w:type="dxa"/>
          <w:right w:w="0" w:type="dxa"/>
        </w:tblCellMar>
      </w:tblPr>
      <w:tblGrid>
        <w:gridCol w:w="38"/>
        <w:gridCol w:w="12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3260" w:type="dxa"/>
            <w:tcBorders/>
            <w:vAlign w:val="center"/>
          </w:tcPr>
          <w:p>
            <w:pPr>
              <w:pStyle w:val="TableContents"/>
              <w:bidi w:val="0"/>
              <w:spacing w:before="0" w:after="283"/>
              <w:jc w:val="both"/>
              <w:rPr/>
            </w:pPr>
            <w:r>
              <w:rPr/>
              <w:t>the aggregate number of warrants;</w:t>
            </w:r>
          </w:p>
        </w:tc>
      </w:tr>
    </w:tbl>
    <w:p>
      <w:pPr>
        <w:pStyle w:val="TextBody"/>
        <w:bidi w:val="0"/>
        <w:jc w:val="both"/>
        <w:rPr/>
      </w:pPr>
      <w:r>
        <w:rPr/>
        <w:t> </w:t>
      </w:r>
    </w:p>
    <w:tbl>
      <w:tblPr>
        <w:tblW w:w="5373" w:type="dxa"/>
        <w:jc w:val="left"/>
        <w:tblInd w:w="0" w:type="dxa"/>
        <w:tblLayout w:type="fixed"/>
        <w:tblCellMar>
          <w:top w:w="0" w:type="dxa"/>
          <w:left w:w="0" w:type="dxa"/>
          <w:bottom w:w="0" w:type="dxa"/>
          <w:right w:w="0" w:type="dxa"/>
        </w:tblCellMar>
      </w:tblPr>
      <w:tblGrid>
        <w:gridCol w:w="38"/>
        <w:gridCol w:w="125"/>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5210" w:type="dxa"/>
            <w:tcBorders/>
            <w:vAlign w:val="center"/>
          </w:tcPr>
          <w:p>
            <w:pPr>
              <w:pStyle w:val="TableContents"/>
              <w:bidi w:val="0"/>
              <w:spacing w:before="0" w:after="283"/>
              <w:jc w:val="both"/>
              <w:rPr/>
            </w:pPr>
            <w:r>
              <w:rPr/>
              <w:t>the price or prices at which the warrants will be issued;</w:t>
            </w:r>
          </w:p>
        </w:tc>
      </w:tr>
    </w:tbl>
    <w:p>
      <w:pPr>
        <w:pStyle w:val="TextBody"/>
        <w:bidi w:val="0"/>
        <w:jc w:val="both"/>
        <w:rPr/>
      </w:pPr>
      <w:r>
        <w:rPr/>
        <w:t> </w:t>
      </w:r>
    </w:p>
    <w:tbl>
      <w:tblPr>
        <w:tblW w:w="7473" w:type="dxa"/>
        <w:jc w:val="left"/>
        <w:tblInd w:w="0" w:type="dxa"/>
        <w:tblLayout w:type="fixed"/>
        <w:tblCellMar>
          <w:top w:w="0" w:type="dxa"/>
          <w:left w:w="0" w:type="dxa"/>
          <w:bottom w:w="0" w:type="dxa"/>
          <w:right w:w="0" w:type="dxa"/>
        </w:tblCellMar>
      </w:tblPr>
      <w:tblGrid>
        <w:gridCol w:w="38"/>
        <w:gridCol w:w="125"/>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7310" w:type="dxa"/>
            <w:tcBorders/>
            <w:vAlign w:val="center"/>
          </w:tcPr>
          <w:p>
            <w:pPr>
              <w:pStyle w:val="TableContents"/>
              <w:bidi w:val="0"/>
              <w:spacing w:before="0" w:after="283"/>
              <w:jc w:val="both"/>
              <w:rPr/>
            </w:pPr>
            <w:r>
              <w:rPr/>
              <w:t>the currency or currencies in which the price of the warrants may be payable;</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designation and terms of the underlying warrant securities purchasable upon exercise of the warrants and the number of such underlying warrant securities issuable upon exercise of the warrants;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price at which and the currency or currencies, including composite currencies, in which the underlying warrant securities purchasable upon exercise of the warrants may be purchased;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date on which the right to exercise the warrants will commence and the date on which that right will expire (subject to any extension);</w:t>
            </w:r>
          </w:p>
        </w:tc>
      </w:tr>
    </w:tbl>
    <w:p>
      <w:pPr>
        <w:pStyle w:val="TextBody"/>
        <w:bidi w:val="0"/>
        <w:jc w:val="both"/>
        <w:rPr/>
      </w:pPr>
      <w:r>
        <w:rPr/>
        <w:t> </w:t>
      </w:r>
    </w:p>
    <w:tbl>
      <w:tblPr>
        <w:tblW w:w="6723" w:type="dxa"/>
        <w:jc w:val="left"/>
        <w:tblInd w:w="0" w:type="dxa"/>
        <w:tblLayout w:type="fixed"/>
        <w:tblCellMar>
          <w:top w:w="0" w:type="dxa"/>
          <w:left w:w="0" w:type="dxa"/>
          <w:bottom w:w="0" w:type="dxa"/>
          <w:right w:w="0" w:type="dxa"/>
        </w:tblCellMar>
      </w:tblPr>
      <w:tblGrid>
        <w:gridCol w:w="38"/>
        <w:gridCol w:w="125"/>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6560" w:type="dxa"/>
            <w:tcBorders/>
            <w:vAlign w:val="center"/>
          </w:tcPr>
          <w:p>
            <w:pPr>
              <w:pStyle w:val="TableContents"/>
              <w:bidi w:val="0"/>
              <w:spacing w:before="0" w:after="283"/>
              <w:jc w:val="both"/>
              <w:rPr/>
            </w:pPr>
            <w:r>
              <w:rPr/>
              <w:t>whether the warrants will be issued in registered form or bearer form;</w:t>
            </w:r>
          </w:p>
        </w:tc>
      </w:tr>
    </w:tbl>
    <w:p>
      <w:pPr>
        <w:pStyle w:val="TextBody"/>
        <w:bidi w:val="0"/>
        <w:jc w:val="both"/>
        <w:rPr/>
      </w:pPr>
      <w:r>
        <w:rPr/>
        <w:t> </w:t>
      </w:r>
    </w:p>
    <w:tbl>
      <w:tblPr>
        <w:tblW w:w="10113" w:type="dxa"/>
        <w:jc w:val="left"/>
        <w:tblInd w:w="0" w:type="dxa"/>
        <w:tblLayout w:type="fixed"/>
        <w:tblCellMar>
          <w:top w:w="0" w:type="dxa"/>
          <w:left w:w="0" w:type="dxa"/>
          <w:bottom w:w="0" w:type="dxa"/>
          <w:right w:w="0" w:type="dxa"/>
        </w:tblCellMar>
      </w:tblPr>
      <w:tblGrid>
        <w:gridCol w:w="38"/>
        <w:gridCol w:w="12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9950" w:type="dxa"/>
            <w:tcBorders/>
            <w:vAlign w:val="center"/>
          </w:tcPr>
          <w:p>
            <w:pPr>
              <w:pStyle w:val="TableContents"/>
              <w:bidi w:val="0"/>
              <w:spacing w:before="0" w:after="283"/>
              <w:jc w:val="both"/>
              <w:rPr/>
            </w:pPr>
            <w:r>
              <w:rPr/>
              <w:t>if applicable, the minimum or maximum amount of the warrants which may be exercised at any one time;</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if applicable, the designation and terms of the underlying warrant securities with which the warrants are issued and the number of the warrants issued with each underlying warrant security;</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if applicable, the date on and after which the warrants and the related underlying warrant securities will be separately transferable;</w:t>
            </w:r>
          </w:p>
        </w:tc>
      </w:tr>
    </w:tbl>
    <w:p>
      <w:pPr>
        <w:pStyle w:val="TextBody"/>
        <w:bidi w:val="0"/>
        <w:jc w:val="both"/>
        <w:rPr/>
      </w:pPr>
      <w:r>
        <w:rPr/>
        <w:t> </w:t>
      </w:r>
    </w:p>
    <w:tbl>
      <w:tblPr>
        <w:tblW w:w="5643" w:type="dxa"/>
        <w:jc w:val="left"/>
        <w:tblInd w:w="0" w:type="dxa"/>
        <w:tblLayout w:type="fixed"/>
        <w:tblCellMar>
          <w:top w:w="0" w:type="dxa"/>
          <w:left w:w="0" w:type="dxa"/>
          <w:bottom w:w="0" w:type="dxa"/>
          <w:right w:w="0" w:type="dxa"/>
        </w:tblCellMar>
      </w:tblPr>
      <w:tblGrid>
        <w:gridCol w:w="38"/>
        <w:gridCol w:w="125"/>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5480" w:type="dxa"/>
            <w:tcBorders/>
            <w:vAlign w:val="center"/>
          </w:tcPr>
          <w:p>
            <w:pPr>
              <w:pStyle w:val="TableContents"/>
              <w:bidi w:val="0"/>
              <w:spacing w:before="0" w:after="283"/>
              <w:jc w:val="both"/>
              <w:rPr/>
            </w:pPr>
            <w:r>
              <w:rPr/>
              <w:t>information with respect to book-entry procedures, if any;</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if applicable, a discussion of the material United States federal income tax considerations applicable to the issuance or exercise of the warrants;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ind w:left="720" w:right="0" w:hanging="36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KSA_013"/>
      <w:bookmarkEnd w:id="22"/>
      <w:r>
        <w:rPr>
          <w:rFonts w:ascii="Times New Roman;Times;Serif" w:hAnsi="Times New Roman;Times;Serif"/>
          <w:b/>
          <w:i w:val="false"/>
          <w:caps w:val="false"/>
          <w:smallCaps w:val="false"/>
          <w:sz w:val="20"/>
        </w:rPr>
        <w:t>DESCRIPTION OF RIGHTS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rights, the rights agreement relating to the rights and the rights certificates representing rights will be described in the applicable prospectus supplement, including, as applicable:</w:t>
      </w:r>
    </w:p>
    <w:p>
      <w:pPr>
        <w:pStyle w:val="TextBody"/>
        <w:bidi w:val="0"/>
        <w:ind w:left="720" w:right="0" w:hanging="360"/>
        <w:jc w:val="both"/>
        <w:rPr>
          <w:caps w:val="false"/>
          <w:smallCaps w:val="false"/>
        </w:rPr>
      </w:pPr>
      <w:r>
        <w:rPr>
          <w:caps w:val="false"/>
          <w:smallCaps w:val="false"/>
        </w:rPr>
        <w:t> </w:t>
      </w:r>
    </w:p>
    <w:tbl>
      <w:tblPr>
        <w:tblW w:w="2133" w:type="dxa"/>
        <w:jc w:val="left"/>
        <w:tblInd w:w="0" w:type="dxa"/>
        <w:tblLayout w:type="fixed"/>
        <w:tblCellMar>
          <w:top w:w="0" w:type="dxa"/>
          <w:left w:w="0" w:type="dxa"/>
          <w:bottom w:w="0" w:type="dxa"/>
          <w:right w:w="0" w:type="dxa"/>
        </w:tblCellMar>
      </w:tblPr>
      <w:tblGrid>
        <w:gridCol w:w="38"/>
        <w:gridCol w:w="125"/>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970" w:type="dxa"/>
            <w:tcBorders/>
            <w:vAlign w:val="center"/>
          </w:tcPr>
          <w:p>
            <w:pPr>
              <w:pStyle w:val="TableContents"/>
              <w:bidi w:val="0"/>
              <w:spacing w:before="0" w:after="283"/>
              <w:jc w:val="both"/>
              <w:rPr/>
            </w:pPr>
            <w:r>
              <w:rPr/>
              <w:t>the title of the rights;</w:t>
            </w:r>
          </w:p>
        </w:tc>
      </w:tr>
    </w:tbl>
    <w:p>
      <w:pPr>
        <w:pStyle w:val="TextBody"/>
        <w:bidi w:val="0"/>
        <w:jc w:val="both"/>
        <w:rPr/>
      </w:pPr>
      <w:r>
        <w:rPr/>
        <w:t> </w:t>
      </w:r>
    </w:p>
    <w:tbl>
      <w:tblPr>
        <w:tblW w:w="5988" w:type="dxa"/>
        <w:jc w:val="left"/>
        <w:tblInd w:w="0" w:type="dxa"/>
        <w:tblLayout w:type="fixed"/>
        <w:tblCellMar>
          <w:top w:w="0" w:type="dxa"/>
          <w:left w:w="0" w:type="dxa"/>
          <w:bottom w:w="0" w:type="dxa"/>
          <w:right w:w="0" w:type="dxa"/>
        </w:tblCellMar>
      </w:tblPr>
      <w:tblGrid>
        <w:gridCol w:w="38"/>
        <w:gridCol w:w="12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5825" w:type="dxa"/>
            <w:tcBorders/>
            <w:vAlign w:val="center"/>
          </w:tcPr>
          <w:p>
            <w:pPr>
              <w:pStyle w:val="TableContents"/>
              <w:bidi w:val="0"/>
              <w:spacing w:before="0" w:after="283"/>
              <w:jc w:val="both"/>
              <w:rPr/>
            </w:pPr>
            <w:r>
              <w:rPr/>
              <w:t>the date of determining the c entitled to the rights distribution;</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title, aggregate number of shares of common stock or preferred stock purchasable upon exercise of the rights;</w:t>
            </w:r>
          </w:p>
        </w:tc>
      </w:tr>
    </w:tbl>
    <w:p>
      <w:pPr>
        <w:pStyle w:val="TextBody"/>
        <w:bidi w:val="0"/>
        <w:jc w:val="both"/>
        <w:rPr/>
      </w:pPr>
      <w:r>
        <w:rPr/>
        <w:t> </w:t>
      </w:r>
    </w:p>
    <w:tbl>
      <w:tblPr>
        <w:tblW w:w="1893" w:type="dxa"/>
        <w:jc w:val="left"/>
        <w:tblInd w:w="0" w:type="dxa"/>
        <w:tblLayout w:type="fixed"/>
        <w:tblCellMar>
          <w:top w:w="0" w:type="dxa"/>
          <w:left w:w="0" w:type="dxa"/>
          <w:bottom w:w="0" w:type="dxa"/>
          <w:right w:w="0" w:type="dxa"/>
        </w:tblCellMar>
      </w:tblPr>
      <w:tblGrid>
        <w:gridCol w:w="38"/>
        <w:gridCol w:w="125"/>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730" w:type="dxa"/>
            <w:tcBorders/>
            <w:vAlign w:val="center"/>
          </w:tcPr>
          <w:p>
            <w:pPr>
              <w:pStyle w:val="TableContents"/>
              <w:bidi w:val="0"/>
              <w:spacing w:before="0" w:after="283"/>
              <w:jc w:val="both"/>
              <w:rPr/>
            </w:pPr>
            <w:r>
              <w:rPr/>
              <w:t>the exercise price;</w:t>
            </w:r>
          </w:p>
        </w:tc>
      </w:tr>
    </w:tbl>
    <w:p>
      <w:pPr>
        <w:pStyle w:val="TextBody"/>
        <w:bidi w:val="0"/>
        <w:jc w:val="both"/>
        <w:rPr/>
      </w:pPr>
      <w:r>
        <w:rPr/>
        <w:t> </w:t>
      </w:r>
    </w:p>
    <w:tbl>
      <w:tblPr>
        <w:tblW w:w="3783" w:type="dxa"/>
        <w:jc w:val="left"/>
        <w:tblInd w:w="0" w:type="dxa"/>
        <w:tblLayout w:type="fixed"/>
        <w:tblCellMar>
          <w:top w:w="0" w:type="dxa"/>
          <w:left w:w="0" w:type="dxa"/>
          <w:bottom w:w="0" w:type="dxa"/>
          <w:right w:w="0" w:type="dxa"/>
        </w:tblCellMar>
      </w:tblPr>
      <w:tblGrid>
        <w:gridCol w:w="38"/>
        <w:gridCol w:w="12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3620" w:type="dxa"/>
            <w:tcBorders/>
            <w:vAlign w:val="center"/>
          </w:tcPr>
          <w:p>
            <w:pPr>
              <w:pStyle w:val="TableContents"/>
              <w:bidi w:val="0"/>
              <w:spacing w:before="0" w:after="283"/>
              <w:jc w:val="both"/>
              <w:rPr/>
            </w:pPr>
            <w:r>
              <w:rPr/>
              <w:t>the aggregate number of rights issued;</w:t>
            </w:r>
          </w:p>
        </w:tc>
      </w:tr>
    </w:tbl>
    <w:p>
      <w:pPr>
        <w:pStyle w:val="TextBody"/>
        <w:bidi w:val="0"/>
        <w:jc w:val="both"/>
        <w:rPr/>
      </w:pPr>
      <w:r>
        <w:rPr/>
        <w:t> </w:t>
      </w:r>
    </w:p>
    <w:tbl>
      <w:tblPr>
        <w:tblW w:w="7338" w:type="dxa"/>
        <w:jc w:val="left"/>
        <w:tblInd w:w="0" w:type="dxa"/>
        <w:tblLayout w:type="fixed"/>
        <w:tblCellMar>
          <w:top w:w="0" w:type="dxa"/>
          <w:left w:w="0" w:type="dxa"/>
          <w:bottom w:w="0" w:type="dxa"/>
          <w:right w:w="0" w:type="dxa"/>
        </w:tblCellMar>
      </w:tblPr>
      <w:tblGrid>
        <w:gridCol w:w="38"/>
        <w:gridCol w:w="125"/>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7175" w:type="dxa"/>
            <w:tcBorders/>
            <w:vAlign w:val="center"/>
          </w:tcPr>
          <w:p>
            <w:pPr>
              <w:pStyle w:val="TableContents"/>
              <w:bidi w:val="0"/>
              <w:spacing w:before="0" w:after="283"/>
              <w:jc w:val="both"/>
              <w:rPr/>
            </w:pPr>
            <w:r>
              <w:rPr/>
              <w:t>the date, if any, on and after which the rights will be separately transferable;</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date on which the right to exercise the rights will commence and the date on which the right will expire; and</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both"/>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other terms of the rights, including terms, procedures and limitations relating to the distribution, exchange and exercise of the rights.</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KSA_014"/>
      <w:bookmarkEnd w:id="23"/>
      <w:r>
        <w:rPr>
          <w:rFonts w:ascii="Times New Roman;Times;Serif" w:hAnsi="Times New Roman;Times;Serif"/>
          <w:b/>
          <w:i w:val="false"/>
          <w:caps w:val="false"/>
          <w:smallCaps w:val="false"/>
          <w:sz w:val="20"/>
        </w:rPr>
        <w:t>DESCRIPTION OF UNITS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 the following:</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25"/>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600" w:type="dxa"/>
            <w:tcBorders/>
            <w:vAlign w:val="center"/>
          </w:tcPr>
          <w:p>
            <w:pPr>
              <w:pStyle w:val="TableContents"/>
              <w:bidi w:val="0"/>
              <w:spacing w:before="0" w:after="283"/>
              <w:jc w:val="both"/>
              <w:rPr/>
            </w:pPr>
            <w:r>
              <w:rPr/>
              <w:t>any provisions of the governing unit agreement that differ from those described below;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any provisions for the issuance, payment, settlement, transfer, or exchange of the units or of the securities comprising the units.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KSA_015"/>
      <w:bookmarkEnd w:id="24"/>
      <w:r>
        <w:rPr>
          <w:rFonts w:ascii="Times New Roman;Times;Serif" w:hAnsi="Times New Roman;Times;Serif"/>
          <w:b/>
          <w:i w:val="false"/>
          <w:caps w:val="false"/>
          <w:smallCaps w:val="false"/>
          <w:sz w:val="20"/>
        </w:rPr>
        <w:t>GLOBAL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Form</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is:</w:t>
      </w:r>
    </w:p>
    <w:p>
      <w:pPr>
        <w:pStyle w:val="TextBody"/>
        <w:bidi w:val="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25"/>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7505" w:type="dxa"/>
            <w:tcBorders/>
            <w:vAlign w:val="center"/>
          </w:tcPr>
          <w:p>
            <w:pPr>
              <w:pStyle w:val="TableContents"/>
              <w:bidi w:val="0"/>
              <w:spacing w:before="0" w:after="283"/>
              <w:jc w:val="both"/>
              <w:rPr/>
            </w:pPr>
            <w:r>
              <w:rPr/>
              <w:t>a limited-purpose trust company organized under the New York Banking Law;</w:t>
            </w:r>
          </w:p>
        </w:tc>
      </w:tr>
    </w:tbl>
    <w:p>
      <w:pPr>
        <w:pStyle w:val="TextBody"/>
        <w:bidi w:val="0"/>
        <w:spacing w:before="0" w:after="283"/>
        <w:jc w:val="left"/>
        <w:rPr/>
      </w:pPr>
      <w:r>
        <w:rPr/>
        <w:t> </w:t>
      </w:r>
    </w:p>
    <w:tbl>
      <w:tblPr>
        <w:tblW w:w="7548" w:type="dxa"/>
        <w:jc w:val="left"/>
        <w:tblInd w:w="0" w:type="dxa"/>
        <w:tblLayout w:type="fixed"/>
        <w:tblCellMar>
          <w:top w:w="0" w:type="dxa"/>
          <w:left w:w="0" w:type="dxa"/>
          <w:bottom w:w="0" w:type="dxa"/>
          <w:right w:w="0" w:type="dxa"/>
        </w:tblCellMar>
      </w:tblPr>
      <w:tblGrid>
        <w:gridCol w:w="38"/>
        <w:gridCol w:w="12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7385" w:type="dxa"/>
            <w:tcBorders/>
            <w:vAlign w:val="center"/>
          </w:tcPr>
          <w:p>
            <w:pPr>
              <w:pStyle w:val="TableContents"/>
              <w:bidi w:val="0"/>
              <w:spacing w:before="0" w:after="283"/>
              <w:jc w:val="both"/>
              <w:rPr/>
            </w:pPr>
            <w:r>
              <w:rPr/>
              <w:t>a “banking organization” within the meaning of the New York Banking Law;</w:t>
            </w:r>
          </w:p>
        </w:tc>
      </w:tr>
    </w:tbl>
    <w:p>
      <w:pPr>
        <w:pStyle w:val="TextBody"/>
        <w:bidi w:val="0"/>
        <w:spacing w:before="0" w:after="283"/>
        <w:jc w:val="left"/>
        <w:rPr/>
      </w:pPr>
      <w:r>
        <w:rPr/>
        <w:t> </w:t>
      </w:r>
    </w:p>
    <w:tbl>
      <w:tblPr>
        <w:tblW w:w="4128" w:type="dxa"/>
        <w:jc w:val="left"/>
        <w:tblInd w:w="0" w:type="dxa"/>
        <w:tblLayout w:type="fixed"/>
        <w:tblCellMar>
          <w:top w:w="0" w:type="dxa"/>
          <w:left w:w="0" w:type="dxa"/>
          <w:bottom w:w="0" w:type="dxa"/>
          <w:right w:w="0" w:type="dxa"/>
        </w:tblCellMar>
      </w:tblPr>
      <w:tblGrid>
        <w:gridCol w:w="38"/>
        <w:gridCol w:w="125"/>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3965" w:type="dxa"/>
            <w:tcBorders/>
            <w:vAlign w:val="center"/>
          </w:tcPr>
          <w:p>
            <w:pPr>
              <w:pStyle w:val="TableContents"/>
              <w:bidi w:val="0"/>
              <w:spacing w:before="0" w:after="283"/>
              <w:jc w:val="both"/>
              <w:rPr/>
            </w:pPr>
            <w:r>
              <w:rPr/>
              <w:t>a member of the Federal Reserve System;</w:t>
            </w:r>
          </w:p>
        </w:tc>
      </w:tr>
    </w:tbl>
    <w:p>
      <w:pPr>
        <w:pStyle w:val="TextBody"/>
        <w:bidi w:val="0"/>
        <w:spacing w:before="0" w:after="283"/>
        <w:jc w:val="left"/>
        <w:rPr/>
      </w:pPr>
      <w:r>
        <w:rPr/>
        <w:t> </w:t>
      </w:r>
    </w:p>
    <w:tbl>
      <w:tblPr>
        <w:tblW w:w="9138" w:type="dxa"/>
        <w:jc w:val="left"/>
        <w:tblInd w:w="0" w:type="dxa"/>
        <w:tblLayout w:type="fixed"/>
        <w:tblCellMar>
          <w:top w:w="0" w:type="dxa"/>
          <w:left w:w="0" w:type="dxa"/>
          <w:bottom w:w="0" w:type="dxa"/>
          <w:right w:w="0" w:type="dxa"/>
        </w:tblCellMar>
      </w:tblPr>
      <w:tblGrid>
        <w:gridCol w:w="38"/>
        <w:gridCol w:w="125"/>
        <w:gridCol w:w="89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975" w:type="dxa"/>
            <w:tcBorders/>
            <w:vAlign w:val="center"/>
          </w:tcPr>
          <w:p>
            <w:pPr>
              <w:pStyle w:val="TableContents"/>
              <w:bidi w:val="0"/>
              <w:spacing w:before="0" w:after="283"/>
              <w:jc w:val="both"/>
              <w:rPr/>
            </w:pPr>
            <w:r>
              <w:rPr/>
              <w:t>a “clearing corporation” within the meaning of the New York Uniform Commercial Code;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 “clearing agency” registered pursuant to the provisions of Section 17A of the Securities Exchange Act of 1934, as amended, or Exchange Act.</w:t>
            </w:r>
          </w:p>
        </w:tc>
      </w:tr>
    </w:tbl>
    <w:p>
      <w:pPr>
        <w:pStyle w:val="TextBody"/>
        <w:bidi w:val="0"/>
        <w:ind w:left="72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beneficial owners of a particular series of securities generally will not receive certificates representing their ownership interests in those securities. However, if:</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we determine, in our sole discretion, not to have such securities represented by one or more global securities;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an Event of Default has occurred and is continuing with respect to such series of securities,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tc>
      </w:tr>
    </w:tbl>
    <w:p>
      <w:pPr>
        <w:pStyle w:val="TextBody"/>
        <w:bidi w:val="0"/>
        <w:ind w:left="720" w:right="0" w:hanging="36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information in this section and elsewhere in this prospectus concerning DTC and DTC’s book-entry system from sources that are believed to be reliable, but we take no responsibility for the accuracy of this information.</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ind w:left="0" w:right="0" w:firstLine="36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KSA_016"/>
      <w:bookmarkEnd w:id="25"/>
      <w:r>
        <w:rPr>
          <w:rFonts w:ascii="Times New Roman;Times;Serif" w:hAnsi="Times New Roman;Times;Serif"/>
          <w:b/>
          <w:i w:val="false"/>
          <w:caps w:val="false"/>
          <w:smallCaps w:val="false"/>
          <w:sz w:val="20"/>
        </w:rPr>
        <w:t>PLAN OF DISTRIBUTION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from time to time the offer and sale by us of up to $50,000,000 in the aggregate of the Company’s Common Stock, preferred stock, debt securities, warrants, rights or units.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covered by this prospectus on our behalf. All costs, expenses and fees connected with the registration of such securities will be borne by us. Any brokerage commissions and similar expenses connected with selling such securities will be borne by us according to the allocation of securities sold.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registration statement of which this prospectus forms a part, the securities beneficially owned by us covered by this prospectus may be offered and sold from time to time by us. We may sell securities, from time to time through one or more underwriters, dealers or agents, directly to one or more purchasers or through a combination of any of these methods of sale or any other method permitted by law. We may sell securities offered by this prospectus on any stock exchange, market or trading facility on which the securities are traded or in private transactions. Subject to the limitations set forth in any applicable registration rights agreement, we may use any one or more of the following methods when selling the securities offered by this prospectus: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spacing w:before="0" w:after="283"/>
        <w:jc w:val="left"/>
        <w:rPr/>
      </w:pPr>
      <w:r>
        <w:rPr/>
        <w:t> </w:t>
      </w:r>
    </w:p>
    <w:tbl>
      <w:tblPr>
        <w:tblW w:w="8478" w:type="dxa"/>
        <w:jc w:val="left"/>
        <w:tblInd w:w="0" w:type="dxa"/>
        <w:tblLayout w:type="fixed"/>
        <w:tblCellMar>
          <w:top w:w="0" w:type="dxa"/>
          <w:left w:w="0" w:type="dxa"/>
          <w:bottom w:w="0" w:type="dxa"/>
          <w:right w:w="0" w:type="dxa"/>
        </w:tblCellMar>
      </w:tblPr>
      <w:tblGrid>
        <w:gridCol w:w="38"/>
        <w:gridCol w:w="125"/>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315" w:type="dxa"/>
            <w:tcBorders/>
            <w:vAlign w:val="center"/>
          </w:tcPr>
          <w:p>
            <w:pPr>
              <w:pStyle w:val="TableContents"/>
              <w:bidi w:val="0"/>
              <w:spacing w:before="0" w:after="283"/>
              <w:jc w:val="both"/>
              <w:rPr/>
            </w:pPr>
            <w:r>
              <w:rPr/>
              <w:t>ordinary brokerage transactions and transactions in which the broker solicits purchasers;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283"/>
        <w:jc w:val="left"/>
        <w:rPr/>
      </w:pPr>
      <w:r>
        <w:rPr/>
        <w:t> </w:t>
      </w:r>
    </w:p>
    <w:tbl>
      <w:tblPr>
        <w:tblW w:w="8508" w:type="dxa"/>
        <w:jc w:val="left"/>
        <w:tblInd w:w="0" w:type="dxa"/>
        <w:tblLayout w:type="fixed"/>
        <w:tblCellMar>
          <w:top w:w="0" w:type="dxa"/>
          <w:left w:w="0" w:type="dxa"/>
          <w:bottom w:w="0" w:type="dxa"/>
          <w:right w:w="0" w:type="dxa"/>
        </w:tblCellMar>
      </w:tblPr>
      <w:tblGrid>
        <w:gridCol w:w="38"/>
        <w:gridCol w:w="125"/>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8345" w:type="dxa"/>
            <w:tcBorders/>
            <w:vAlign w:val="center"/>
          </w:tcPr>
          <w:p>
            <w:pPr>
              <w:pStyle w:val="TableContents"/>
              <w:bidi w:val="0"/>
              <w:spacing w:before="0" w:after="283"/>
              <w:jc w:val="both"/>
              <w:rPr/>
            </w:pPr>
            <w:r>
              <w:rPr/>
              <w:t>an over-the-counter distribution in accordance with the rules of the applicable exchange;</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125"/>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6485" w:type="dxa"/>
            <w:tcBorders/>
            <w:vAlign w:val="center"/>
          </w:tcPr>
          <w:p>
            <w:pPr>
              <w:pStyle w:val="TableContents"/>
              <w:bidi w:val="0"/>
              <w:spacing w:before="0" w:after="283"/>
              <w:jc w:val="both"/>
              <w:rPr/>
            </w:pPr>
            <w:r>
              <w:rPr/>
              <w:t>settlement of short sales entered into after the date of this prospectus;</w:t>
            </w:r>
          </w:p>
        </w:tc>
      </w:tr>
    </w:tbl>
    <w:p>
      <w:pPr>
        <w:pStyle w:val="TextBody"/>
        <w:bidi w:val="0"/>
        <w:spacing w:before="0" w:after="283"/>
        <w:jc w:val="left"/>
        <w:rPr/>
      </w:pPr>
      <w:r>
        <w:rPr/>
        <w:t> </w:t>
      </w:r>
    </w:p>
    <w:tbl>
      <w:tblPr>
        <w:tblW w:w="9993" w:type="dxa"/>
        <w:jc w:val="left"/>
        <w:tblInd w:w="0" w:type="dxa"/>
        <w:tblLayout w:type="fixed"/>
        <w:tblCellMar>
          <w:top w:w="0" w:type="dxa"/>
          <w:left w:w="0" w:type="dxa"/>
          <w:bottom w:w="0" w:type="dxa"/>
          <w:right w:w="0" w:type="dxa"/>
        </w:tblCellMar>
      </w:tblPr>
      <w:tblGrid>
        <w:gridCol w:w="38"/>
        <w:gridCol w:w="125"/>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9830" w:type="dxa"/>
            <w:tcBorders/>
            <w:vAlign w:val="center"/>
          </w:tcPr>
          <w:p>
            <w:pPr>
              <w:pStyle w:val="TableContents"/>
              <w:bidi w:val="0"/>
              <w:spacing w:before="0" w:after="283"/>
              <w:jc w:val="both"/>
              <w:rPr/>
            </w:pPr>
            <w:r>
              <w:rPr/>
              <w:t>agreements with broker-dealers to sell a specified number of the securities at a stipulated price per share;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w:t>
            </w:r>
            <w:r>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sales directly to purchasers, including through a specific bidding, auction or other process or in privately negotiated transactions;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283"/>
        <w:jc w:val="left"/>
        <w:rPr/>
      </w:pPr>
      <w:r>
        <w:rPr/>
        <w:t> </w:t>
      </w:r>
    </w:p>
    <w:tbl>
      <w:tblPr>
        <w:tblW w:w="5388" w:type="dxa"/>
        <w:jc w:val="left"/>
        <w:tblInd w:w="0" w:type="dxa"/>
        <w:tblLayout w:type="fixed"/>
        <w:tblCellMar>
          <w:top w:w="0" w:type="dxa"/>
          <w:left w:w="0" w:type="dxa"/>
          <w:bottom w:w="0" w:type="dxa"/>
          <w:right w:w="0" w:type="dxa"/>
        </w:tblCellMar>
      </w:tblPr>
      <w:tblGrid>
        <w:gridCol w:w="38"/>
        <w:gridCol w:w="125"/>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225" w:type="dxa"/>
            <w:tcBorders/>
            <w:vAlign w:val="center"/>
          </w:tcPr>
          <w:p>
            <w:pPr>
              <w:pStyle w:val="TableContents"/>
              <w:bidi w:val="0"/>
              <w:spacing w:before="0" w:after="283"/>
              <w:jc w:val="both"/>
              <w:rPr/>
            </w:pPr>
            <w:r>
              <w:rPr/>
              <w:t>through a combination of any of the above methods; or</w:t>
            </w:r>
          </w:p>
        </w:tc>
      </w:tr>
    </w:tbl>
    <w:p>
      <w:pPr>
        <w:pStyle w:val="TextBody"/>
        <w:bidi w:val="0"/>
        <w:spacing w:before="0" w:after="283"/>
        <w:jc w:val="left"/>
        <w:rPr/>
      </w:pPr>
      <w:r>
        <w:rPr/>
        <w:t> </w:t>
      </w:r>
    </w:p>
    <w:tbl>
      <w:tblPr>
        <w:tblW w:w="5388" w:type="dxa"/>
        <w:jc w:val="left"/>
        <w:tblInd w:w="0" w:type="dxa"/>
        <w:tblLayout w:type="fixed"/>
        <w:tblCellMar>
          <w:top w:w="0" w:type="dxa"/>
          <w:left w:w="0" w:type="dxa"/>
          <w:bottom w:w="0" w:type="dxa"/>
          <w:right w:w="0" w:type="dxa"/>
        </w:tblCellMar>
      </w:tblPr>
      <w:tblGrid>
        <w:gridCol w:w="38"/>
        <w:gridCol w:w="125"/>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(which we refer to as the “Securities Act” in this prospectus,),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hedging transactions with broker-dealers or other financial institutions, which may in turn engage in short sales of our securities in the course of hedging the positions they assume. We may also sell the securities short and deliver these securities to close out their short positions, or loan or pledge the securities to broker-dealers that in turn may sell these shares. We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KSA_017"/>
      <w:bookmarkEnd w:id="26"/>
      <w:r>
        <w:rPr>
          <w:rFonts w:ascii="Times New Roman;Times;Serif" w:hAnsi="Times New Roman;Times;Serif"/>
          <w:b/>
          <w:i w:val="false"/>
          <w:caps w:val="false"/>
          <w:smallCaps w:val="false"/>
          <w:sz w:val="20"/>
        </w:rPr>
        <w:t>LEGAL MATTERS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validity of the securities to be offered by this prospectus will be passed upon for us by White &amp; Case LLP, New York, New York, and for any agents, underwriters, dealers, remarketing firms or other third parties by counsel named in the applicable prospectus supplement.</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KSA_018"/>
      <w:bookmarkEnd w:id="27"/>
      <w:r>
        <w:rPr>
          <w:rFonts w:ascii="Times New Roman;Times;Serif" w:hAnsi="Times New Roman;Times;Serif"/>
          <w:b/>
          <w:i w:val="false"/>
          <w:caps w:val="false"/>
          <w:smallCaps w:val="false"/>
          <w:sz w:val="20"/>
        </w:rPr>
        <w:t>EXPERTS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Silvaco Group, Inc. (the “Company”) incorporated in this prospectus by reference from the Annual Report on Form 10-K of the Company for the year ended December 31, 2024, have been audited by Baker Tilly US, LLP (formerly, Moss Adams LLP), an independent registered public accounting firm, as stated in their report, which is incorporated herein by reference. Such consolidated financial statements are incorporated by reference in reliance upon the report of such firm given their authority as experts in accounting and auditing.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KSA_019"/>
      <w:bookmarkEnd w:id="28"/>
      <w:r>
        <w:rPr>
          <w:rFonts w:ascii="Times New Roman;Times;Serif" w:hAnsi="Times New Roman;Times;Serif"/>
          <w:b/>
          <w:i w:val="false"/>
          <w:caps w:val="false"/>
          <w:smallCaps w:val="false"/>
          <w:sz w:val="20"/>
        </w:rPr>
        <w:t>WHERE YOU CAN FIND MORE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We have also filed a registration statement on Form S-3,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Those filings are also available to the public on, or accessible through, our website under the heading “Investors” at </w:t>
      </w:r>
      <w:r>
        <w:rPr>
          <w:rFonts w:ascii="Times New Roman;Times;Serif" w:hAnsi="Times New Roman;Times;Serif"/>
          <w:b w:val="false"/>
          <w:i/>
          <w:caps w:val="false"/>
          <w:smallCaps w:val="false"/>
          <w:sz w:val="20"/>
        </w:rPr>
        <w:t>https://www.silvaco.com/</w:t>
      </w:r>
      <w:r>
        <w:rPr>
          <w:rFonts w:ascii="Times New Roman;Times;Serif" w:hAnsi="Times New Roman;Times;Serif"/>
          <w:b w:val="false"/>
          <w:i w:val="false"/>
          <w:caps w:val="false"/>
          <w:smallCaps w:val="false"/>
          <w:sz w:val="20"/>
        </w:rPr>
        <w:t>. The information on our web site, however, is not, and should not be deemed to be, a part of this prospectus.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(excluding any portions of such documents that have been “furnished to” but not “filed with” the SEC for purposes of the Exchange Act):</w:t>
      </w:r>
    </w:p>
    <w:p>
      <w:pPr>
        <w:pStyle w:val="TextBody"/>
        <w:bidi w:val="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our Annual Report on </w:t>
            </w:r>
            <w:hyperlink r:id="rId12">
              <w:r>
                <w:rPr>
                  <w:rStyle w:val="InternetLink"/>
                </w:rPr>
                <w:t>Form 10-K</w:t>
              </w:r>
            </w:hyperlink>
            <w:r>
              <w:rPr/>
              <w:t xml:space="preserve"> for the year ended December 31, 2024, filed with the SEC on March 5,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the information specifically incorporated by reference into our Annual Report on </w:t>
            </w:r>
            <w:hyperlink r:id="rId13">
              <w:r>
                <w:rPr>
                  <w:rStyle w:val="InternetLink"/>
                </w:rPr>
                <w:t>Form 10-K</w:t>
              </w:r>
            </w:hyperlink>
            <w:r>
              <w:rPr/>
              <w:t xml:space="preserve"> for the year ended December 31, 2024, from our Definitive Proxy Statement on </w:t>
            </w:r>
            <w:hyperlink r:id="rId14">
              <w:r>
                <w:rPr>
                  <w:rStyle w:val="InternetLink"/>
                </w:rPr>
                <w:t>Schedule 14A</w:t>
              </w:r>
            </w:hyperlink>
            <w:r>
              <w:rPr/>
              <w:t>, filed with the SEC on April 11,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our Quarterly Report on </w:t>
            </w:r>
            <w:hyperlink r:id="rId15">
              <w:r>
                <w:rPr>
                  <w:rStyle w:val="InternetLink"/>
                </w:rPr>
                <w:t>Form 10-Q</w:t>
              </w:r>
            </w:hyperlink>
            <w:r>
              <w:rPr/>
              <w:t xml:space="preserve"> for the quarter ended March 31, 2025, filed with the SEC on May 7, 2025 and our Quarterly Report on </w:t>
            </w:r>
            <w:hyperlink r:id="rId16">
              <w:r>
                <w:rPr>
                  <w:rStyle w:val="InternetLink"/>
                </w:rPr>
                <w:t>Form 10-Q</w:t>
              </w:r>
            </w:hyperlink>
            <w:r>
              <w:rPr/>
              <w:t xml:space="preserve"> for the quarter ended June 30, 2025, filed with the SEC on August 6,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our Current Reports on Form 8-K, filed with the SEC on </w:t>
            </w:r>
            <w:hyperlink r:id="rId17">
              <w:r>
                <w:rPr>
                  <w:rStyle w:val="InternetLink"/>
                </w:rPr>
                <w:t>March 4, 2025</w:t>
              </w:r>
            </w:hyperlink>
            <w:r>
              <w:rPr/>
              <w:t xml:space="preserve">, </w:t>
            </w:r>
            <w:hyperlink r:id="rId18">
              <w:r>
                <w:rPr>
                  <w:rStyle w:val="InternetLink"/>
                </w:rPr>
                <w:t>March 21, 2025</w:t>
              </w:r>
            </w:hyperlink>
            <w:r>
              <w:rPr/>
              <w:t xml:space="preserve">, </w:t>
            </w:r>
            <w:hyperlink r:id="rId19">
              <w:r>
                <w:rPr>
                  <w:rStyle w:val="InternetLink"/>
                </w:rPr>
                <w:t>May 28, 2025</w:t>
              </w:r>
            </w:hyperlink>
            <w:r>
              <w:rPr/>
              <w:t xml:space="preserve">, </w:t>
            </w:r>
            <w:hyperlink r:id="rId20">
              <w:r>
                <w:rPr>
                  <w:rStyle w:val="InternetLink"/>
                </w:rPr>
                <w:t>July 10, 2025</w:t>
              </w:r>
            </w:hyperlink>
            <w:r>
              <w:rPr/>
              <w:t xml:space="preserve">, </w:t>
            </w:r>
            <w:hyperlink r:id="rId21">
              <w:r>
                <w:rPr>
                  <w:rStyle w:val="InternetLink"/>
                </w:rPr>
                <w:t>July 29, 2025</w:t>
              </w:r>
            </w:hyperlink>
            <w:r>
              <w:rPr/>
              <w:t xml:space="preserve">, </w:t>
            </w:r>
            <w:hyperlink r:id="rId22">
              <w:r>
                <w:rPr>
                  <w:rStyle w:val="InternetLink"/>
                </w:rPr>
                <w:t>August 4, 2025</w:t>
              </w:r>
            </w:hyperlink>
            <w:r>
              <w:rPr/>
              <w:t xml:space="preserve"> </w:t>
            </w:r>
            <w:hyperlink r:id="rId23">
              <w:r>
                <w:rPr>
                  <w:rStyle w:val="InternetLink"/>
                </w:rPr>
                <w:t>August 26, 2025</w:t>
              </w:r>
            </w:hyperlink>
            <w:r>
              <w:rPr/>
              <w:t xml:space="preserve"> and </w:t>
            </w:r>
            <w:hyperlink r:id="rId24">
              <w:r>
                <w:rPr>
                  <w:rStyle w:val="InternetLink"/>
                </w:rPr>
                <w:t>September 5, 2025</w:t>
              </w:r>
            </w:hyperlink>
            <w:r>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10042" w:type="dxa"/>
            <w:tcBorders/>
            <w:vAlign w:val="center"/>
          </w:tcPr>
          <w:p>
            <w:pPr>
              <w:pStyle w:val="TableContents"/>
              <w:bidi w:val="0"/>
              <w:spacing w:before="0" w:after="283"/>
              <w:jc w:val="both"/>
              <w:rPr/>
            </w:pPr>
            <w:r>
              <w:rPr/>
              <w:t xml:space="preserve">the description of our capital stock contained in our Registration Statement on </w:t>
            </w:r>
            <w:hyperlink r:id="rId25">
              <w:r>
                <w:rPr>
                  <w:rStyle w:val="InternetLink"/>
                </w:rPr>
                <w:t>Form 8-A</w:t>
              </w:r>
            </w:hyperlink>
            <w:r>
              <w:rPr/>
              <w:t xml:space="preserve"> (File No. 001-42043) as originally filed with the SEC on May 6, 2024 and any amendment or report filed for the purpose of updating this information (including </w:t>
            </w:r>
            <w:hyperlink r:id="rId26">
              <w:r>
                <w:rPr>
                  <w:rStyle w:val="InternetLink"/>
                </w:rPr>
                <w:t>Exhibit 4.2</w:t>
              </w:r>
            </w:hyperlink>
            <w:r>
              <w:rPr/>
              <w:t xml:space="preserve"> to our Annual Report on </w:t>
            </w:r>
            <w:hyperlink r:id="rId27">
              <w:r>
                <w:rPr>
                  <w:rStyle w:val="InternetLink"/>
                </w:rPr>
                <w:t>Form 10-K</w:t>
              </w:r>
            </w:hyperlink>
            <w:r>
              <w:rPr/>
              <w:t xml:space="preserve"> for the fiscal year ended December 31, 2024).</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Silvaco Group, Inc.</w:t>
        <w:br/>
        <w:t>4700 Patrick Henry Drive, Building #23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California 95054</w:t>
        <w:br/>
        <w:t>(408) 567-1000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705100" cy="1009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8"/>
                    <a:stretch>
                      <a:fillRect/>
                    </a:stretch>
                  </pic:blipFill>
                  <pic:spPr bwMode="auto">
                    <a:xfrm>
                      <a:off x="0" y="0"/>
                      <a:ext cx="2705100" cy="10096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69,062 shares of Common Stock</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6, 2026</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943289/000162828026017378/svco-20251231.htm" TargetMode="External"/><Relationship Id="rId4" Type="http://schemas.openxmlformats.org/officeDocument/2006/relationships/hyperlink" Target="https://www.sec.gov/ix?doc=/Archives/edgar/data/1943289/000162828026017378/svco-20251231.htm" TargetMode="External"/><Relationship Id="rId5" Type="http://schemas.openxmlformats.org/officeDocument/2006/relationships/hyperlink" Target="https://www.sec.gov/ix?doc=/Archives/edgar/data/1943289/000162828026017380/svco-20260312.htm" TargetMode="External"/><Relationship Id="rId6" Type="http://schemas.openxmlformats.org/officeDocument/2006/relationships/hyperlink" Target="https://www.sec.gov/ix?doc=/Archives/edgar/data/1943289/000162828026032286/svco-20260331.htm" TargetMode="External"/><Relationship Id="rId7" Type="http://schemas.openxmlformats.org/officeDocument/2006/relationships/hyperlink" Target="https://www.sec.gov/ix?doc=/Archives/edgar/data/1943289/000162828026017738/svco-20260313.htm" TargetMode="External"/><Relationship Id="rId8" Type="http://schemas.openxmlformats.org/officeDocument/2006/relationships/hyperlink" Target="https://www.sec.gov/ix?doc=/Archives/edgar/data/1943289/000162828026028936/svco-20260422.htm" TargetMode="External"/><Relationship Id="rId9" Type="http://schemas.openxmlformats.org/officeDocument/2006/relationships/hyperlink" Target="https://www.sec.gov/ix?doc=/Archives/edgar/data/1943289/000121390026054014/ea0289765-8k_silvaco.htm" TargetMode="External"/><Relationship Id="rId10" Type="http://schemas.openxmlformats.org/officeDocument/2006/relationships/hyperlink" Target="https://www.sec.gov/ix?doc=/Archives/edgar/data/1943289/000162828026038540/svco-20260521.htm" TargetMode="External"/><Relationship Id="rId11" Type="http://schemas.openxmlformats.org/officeDocument/2006/relationships/image" Target="media/image2.jpeg"/><Relationship Id="rId12" Type="http://schemas.openxmlformats.org/officeDocument/2006/relationships/hyperlink" Target="https://www.sec.gov/ix?doc=/Archives/edgar/data/1943289/000162828025010567/svco-20241231.htm" TargetMode="External"/><Relationship Id="rId13" Type="http://schemas.openxmlformats.org/officeDocument/2006/relationships/hyperlink" Target="https://www.sec.gov/ix?doc=/Archives/edgar/data/1943289/000162828025010567/svco-20241231.htm" TargetMode="External"/><Relationship Id="rId14" Type="http://schemas.openxmlformats.org/officeDocument/2006/relationships/hyperlink" Target="https://www.sec.gov/ix?doc=/Archives/edgar/data/1943289/000162828025017420/svco-20250410.htm" TargetMode="External"/><Relationship Id="rId15" Type="http://schemas.openxmlformats.org/officeDocument/2006/relationships/hyperlink" Target="https://www.sec.gov/ix?doc=/Archives/edgar/data/1943289/000162828026032286/svco-20260331.htm" TargetMode="External"/><Relationship Id="rId16" Type="http://schemas.openxmlformats.org/officeDocument/2006/relationships/hyperlink" Target="https://www.sec.gov/ix?doc=/Archives/edgar/data/1943289/000162828025038416/svco-20250630.htm" TargetMode="External"/><Relationship Id="rId17" Type="http://schemas.openxmlformats.org/officeDocument/2006/relationships/hyperlink" Target="https://www.sec.gov/ix?doc=/Archives/edgar/data/1943289/000162828025009948/svco-20250304.htm" TargetMode="External"/><Relationship Id="rId18" Type="http://schemas.openxmlformats.org/officeDocument/2006/relationships/hyperlink" Target="https://www.sec.gov/ix?doc=/Archives/edgar/data/1943289/000162828025014316/svco-20250318.htm" TargetMode="External"/><Relationship Id="rId19" Type="http://schemas.openxmlformats.org/officeDocument/2006/relationships/hyperlink" Target="https://www.sec.gov/ix?doc=/Archives/edgar/data/1943289/000162828025028149/svco-20250522.htm" TargetMode="External"/><Relationship Id="rId20" Type="http://schemas.openxmlformats.org/officeDocument/2006/relationships/hyperlink" Target="https://www.sec.gov/ix?doc=/Archives/edgar/data/1943289/000162828025034688/svco-20250708.htm" TargetMode="External"/><Relationship Id="rId21" Type="http://schemas.openxmlformats.org/officeDocument/2006/relationships/hyperlink" Target="https://www.sec.gov/ix?doc=/Archives/edgar/data/1943289/000162828025036463/svco-20250729.htm" TargetMode="External"/><Relationship Id="rId22" Type="http://schemas.openxmlformats.org/officeDocument/2006/relationships/hyperlink" Target="https://www.sec.gov/ix?doc=/Archives/edgar/data/1943289/000162828025037474/svco-20250801.htm" TargetMode="External"/><Relationship Id="rId23" Type="http://schemas.openxmlformats.org/officeDocument/2006/relationships/hyperlink" Target="https://www.sec.gov/ix?doc=/Archives/edgar/data/1943289/000194328925000009/svco-20250821.htm" TargetMode="External"/><Relationship Id="rId24" Type="http://schemas.openxmlformats.org/officeDocument/2006/relationships/hyperlink" Target="http://www.sec.gov/ix?doc=/Archives/edgar/data/1943289/000194328925000014/svco-20250904.htm" TargetMode="External"/><Relationship Id="rId25" Type="http://schemas.openxmlformats.org/officeDocument/2006/relationships/hyperlink" Target="https://www.sec.gov/Archives/edgar/data/1943289/000162828024020634/silvacogroupinc-form8xa.htm" TargetMode="External"/><Relationship Id="rId26" Type="http://schemas.openxmlformats.org/officeDocument/2006/relationships/hyperlink" Target="https://www.sec.gov/Archives/edgar/data/1943289/000162828025010567/ex42descriptionofcapital.htm" TargetMode="External"/><Relationship Id="rId27" Type="http://schemas.openxmlformats.org/officeDocument/2006/relationships/hyperlink" Target="http://www.sec.gov/ix?doc=/Archives/edgar/data/1943289/000162828025010567/svco-20241231.htm" TargetMode="External"/><Relationship Id="rId28" Type="http://schemas.openxmlformats.org/officeDocument/2006/relationships/image" Target="media/image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23126</Words>
  <Characters>121967</Characters>
  <CharactersWithSpaces>144944</CharactersWithSpaces>
  <Paragraphs>1334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