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054-8k_silvaco.htm"/>
      <w:bookmarkStart w:id="1" w:name="ksea02970548k_silvac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7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Silvaco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660" w:type="dxa"/>
        <w:jc w:val="left"/>
        <w:tblInd w:w="0" w:type="dxa"/>
        <w:tblLayout w:type="fixed"/>
        <w:tblCellMar>
          <w:top w:w="0" w:type="dxa"/>
          <w:left w:w="0" w:type="dxa"/>
          <w:bottom w:w="28" w:type="dxa"/>
          <w:right w:w="0" w:type="dxa"/>
        </w:tblCellMar>
      </w:tblPr>
      <w:tblGrid>
        <w:gridCol w:w="2270"/>
        <w:gridCol w:w="60"/>
        <w:gridCol w:w="2300"/>
        <w:gridCol w:w="60"/>
        <w:gridCol w:w="1970"/>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706"/>
            <w:bookmarkEnd w:id="6"/>
            <w:r>
              <w:rPr>
                <w:rFonts w:ascii="Times New Roman;Times;Serif" w:hAnsi="Times New Roman;Times;Serif"/>
                <w:b/>
                <w:i w:val="false"/>
                <w:caps w:val="false"/>
                <w:smallCaps w:val="false"/>
                <w:sz w:val="20"/>
              </w:rPr>
              <w:t>001-42043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27-1503712</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Silvaco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4701 Patrick Henry Drive, </w:t>
      </w:r>
      <w:bookmarkStart w:id="9" w:name="xdx_906_edei--EntityAddressAddressLine2_"/>
      <w:bookmarkEnd w:id="9"/>
      <w:r>
        <w:rPr>
          <w:rFonts w:ascii="Times New Roman;Times;Serif" w:hAnsi="Times New Roman;Times;Serif"/>
          <w:b/>
          <w:i w:val="false"/>
          <w:caps w:val="false"/>
          <w:smallCaps w:val="false"/>
          <w:sz w:val="20"/>
        </w:rPr>
        <w:t>Building #23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Santa Clara, </w:t>
      </w:r>
      <w:bookmarkStart w:id="11" w:name="xdx_907_edei--EntityAddressStateOrProvin"/>
      <w:bookmarkEnd w:id="11"/>
      <w:r>
        <w:rPr>
          <w:rFonts w:ascii="Times New Roman;Times;Serif" w:hAnsi="Times New Roman;Times;Serif"/>
          <w:b/>
          <w:i w:val="false"/>
          <w:caps w:val="false"/>
          <w:smallCaps w:val="false"/>
          <w:sz w:val="20"/>
        </w:rPr>
        <w:t xml:space="preserve">CA </w:t>
      </w:r>
      <w:bookmarkStart w:id="12" w:name="xdx_90E_edei--EntityAddressPostalZipCode"/>
      <w:bookmarkEnd w:id="12"/>
      <w:r>
        <w:rPr>
          <w:rFonts w:ascii="Times New Roman;Times;Serif" w:hAnsi="Times New Roman;Times;Serif"/>
          <w:b/>
          <w:i w:val="false"/>
          <w:caps w:val="false"/>
          <w:smallCaps w:val="false"/>
          <w:sz w:val="20"/>
        </w:rPr>
        <w:t>95054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9_edei--CityAreaCode_c20260706__20"/>
      <w:bookmarkEnd w:id="13"/>
      <w:r>
        <w:rPr>
          <w:rFonts w:ascii="Times New Roman;Times;Serif" w:hAnsi="Times New Roman;Times;Serif"/>
          <w:b/>
          <w:i w:val="false"/>
          <w:caps w:val="false"/>
          <w:smallCaps w:val="false"/>
          <w:sz w:val="20"/>
        </w:rPr>
        <w:t xml:space="preserve">408) </w:t>
      </w:r>
      <w:bookmarkStart w:id="14" w:name="xdx_908_edei--LocalPhoneNumber_c20260706"/>
      <w:bookmarkEnd w:id="14"/>
      <w:r>
        <w:rPr>
          <w:rFonts w:ascii="Times New Roman;Times;Serif" w:hAnsi="Times New Roman;Times;Serif"/>
          <w:b/>
          <w:i w:val="false"/>
          <w:caps w:val="false"/>
          <w:smallCaps w:val="false"/>
          <w:sz w:val="20"/>
        </w:rPr>
        <w:t>567-1000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7_edei--SolicitingMaterial_c202607"/>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3590"/>
        <w:gridCol w:w="60"/>
        <w:gridCol w:w="1415"/>
        <w:gridCol w:w="60"/>
        <w:gridCol w:w="3710"/>
      </w:tblGrid>
      <w:tr>
        <w:trPr/>
        <w:tc>
          <w:tcPr>
            <w:tcW w:w="35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Security12bTitle_c20260706"/>
            <w:bookmarkEnd w:id="19"/>
            <w:r>
              <w:rPr>
                <w:rFonts w:ascii="Times New Roman;Times;Serif" w:hAnsi="Times New Roman;Times;Serif"/>
                <w:sz w:val="20"/>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8_edei--TradingSymbol_c20260706__2"/>
            <w:bookmarkEnd w:id="20"/>
            <w:r>
              <w:rPr>
                <w:rFonts w:ascii="Times New Roman;Times;Serif" w:hAnsi="Times New Roman;Times;Serif"/>
                <w:sz w:val="20"/>
              </w:rPr>
              <w:t>SVCO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9_edei--SecurityExchangeName_c2026"/>
            <w:bookmarkEnd w:id="21"/>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Silvaco Group, Inc. (the “Company”) filed with the Securities and Exchange Commission (the “SEC”) a prospectus supplement, dated July 6, 2026 (the “Prospectus Supplement”), pursuant to Rule 424(b)(5) under the Securities Act of 1933, as amended (the “Securities Act”), relating to the offer and sale by the Company of 69,062 shares of the Company’s common stock, par value $0.0001 per share (the “Shares”), to John Cary, a former equityholder of Tech-X Corporation (“Tech-X”).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issued as part of the consideration for the Company’s acquisition of Tech-X (the “Tech-X Acquisition”) in satisfaction of (a) contingent earnout consideration upon the achievement of certain developmental milestones and (b) a portion of the additional purchase consideration as a result of post-closing adjustments, in each case in lieu of cash, as described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offered pursuant to the Company’s shelf registration statement on Form S-3 (File No. 333-291212), which was declared effective by the SEC on November 21, 2025 (the “Registration Statement”). The Prospectus Supplement relates to, and should be read in conjunction with, the prospectus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receive any cash proceeds from the issuance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Shell Company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705401ex5-1.htm">
              <w:r>
                <w:rPr>
                  <w:rStyle w:val="InternetLink"/>
                  <w:rFonts w:ascii="Times New Roman;Times;Serif" w:hAnsi="Times New Roman;Times;Serif"/>
                  <w:sz w:val="20"/>
                </w:rPr>
                <w:t>Opinion of White &amp; Case LLP regarding the legality of the Shares</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ea029705401ex5-1.htm">
              <w:r>
                <w:rPr>
                  <w:rStyle w:val="InternetLink"/>
                  <w:rFonts w:ascii="Times New Roman;Times;Serif" w:hAnsi="Times New Roman;Times;Serif"/>
                  <w:sz w:val="20"/>
                </w:rPr>
                <w:t>Consent of White &amp; Case LLP (included in Exhibit 5.1)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1520"/>
        <w:gridCol w:w="320"/>
        <w:gridCol w:w="2015"/>
      </w:tblGrid>
      <w:tr>
        <w:trPr/>
        <w:tc>
          <w:tcPr>
            <w:tcW w:w="152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SILVACO GROUP, INC.</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Zegarelli</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Zegarelli</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9705401ex5-1.htm"/>
      <w:bookmarkStart w:id="25" w:name="ksea029705401ex51"/>
      <w:bookmarkEnd w:id="24"/>
      <w:bookmarkEnd w:id="25"/>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3860"/>
        <w:gridCol w:w="3105"/>
      </w:tblGrid>
      <w:tr>
        <w:trPr/>
        <w:tc>
          <w:tcPr>
            <w:tcW w:w="3860" w:type="dxa"/>
            <w:tcBorders/>
            <w:vAlign w:val="center"/>
          </w:tcPr>
          <w:p>
            <w:pPr>
              <w:pStyle w:val="TableContents"/>
              <w:bidi w:val="0"/>
              <w:spacing w:before="0" w:after="283"/>
              <w:jc w:val="left"/>
              <w:rPr/>
            </w:pPr>
            <w:r>
              <w:rPr/>
              <w:t>July 6, 2026</w:t>
            </w:r>
          </w:p>
        </w:tc>
        <w:tc>
          <w:tcPr>
            <w:tcW w:w="3105" w:type="dxa"/>
            <w:tcBorders/>
            <w:vAlign w:val="center"/>
          </w:tcPr>
          <w:p>
            <w:pPr>
              <w:pStyle w:val="TableContents"/>
              <w:bidi w:val="0"/>
              <w:spacing w:before="0" w:after="283"/>
              <w:jc w:val="right"/>
              <w:rPr/>
            </w:pPr>
            <w:r>
              <w:rPr/>
              <w:drawing>
                <wp:inline distT="0" distB="0" distL="0" distR="0">
                  <wp:extent cx="16097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466725"/>
                          </a:xfrm>
                          <a:prstGeom prst="rect">
                            <a:avLst/>
                          </a:prstGeom>
                        </pic:spPr>
                      </pic:pic>
                    </a:graphicData>
                  </a:graphic>
                </wp:inline>
              </w:drawing>
            </w:r>
          </w:p>
        </w:tc>
      </w:tr>
      <w:tr>
        <w:trPr/>
        <w:tc>
          <w:tcPr>
            <w:tcW w:w="3860" w:type="dxa"/>
            <w:tcBorders/>
            <w:vAlign w:val="center"/>
          </w:tcPr>
          <w:p>
            <w:pPr>
              <w:pStyle w:val="TableContents"/>
              <w:bidi w:val="0"/>
              <w:spacing w:before="0" w:after="283"/>
              <w:jc w:val="left"/>
              <w:rPr/>
            </w:pPr>
            <w:r>
              <w:rPr/>
              <w:t> </w:t>
            </w:r>
          </w:p>
        </w:tc>
        <w:tc>
          <w:tcPr>
            <w:tcW w:w="310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Silvaco Group, Inc.</w:t>
              <w:br/>
              <w:t>4701 Patrick Henry Drive, Building #23</w:t>
              <w:br/>
              <w:t>Santa Clara, CA 95054</w:t>
            </w:r>
          </w:p>
        </w:tc>
        <w:tc>
          <w:tcPr>
            <w:tcW w:w="3105" w:type="dxa"/>
            <w:tcBorders/>
            <w:vAlign w:val="center"/>
          </w:tcPr>
          <w:p>
            <w:pPr>
              <w:pStyle w:val="TableContents"/>
              <w:bidi w:val="0"/>
              <w:spacing w:before="0" w:after="283"/>
              <w:jc w:val="right"/>
              <w:rPr/>
            </w:pPr>
            <w:r>
              <w:rPr/>
              <w:drawing>
                <wp:inline distT="0" distB="0" distL="0" distR="0">
                  <wp:extent cx="196215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2150" cy="11811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New York counsel to Silvaco Group, Inc., a corporation organized under the laws of Delaware (the “Company”), in connection with the sale of up to 69,062 shares of common stock, par value $0.001 per share (the “Shares”). The Shares are included in a registration statement on Form S-3 under the Securities Act of 1933, as amended (the “Securities Act”), filed with the Securities and Exchange Commission (the “Commission”) on November 3, 2025 (Registration No. 333-291212) (the “Registration Statement”), and are being offered pursuant to a base prospectus dated October 31, 2025 (the “Base Prospectus”) and a prospectus supplement dated July 6, 2026 filed with the Commission pursuant to Rule 424(b) under the Securities Act (together with the Base Prospectus,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issuance of the Shares. 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pStyle w:val="TextBody"/>
        <w:bidi w:val="0"/>
        <w:spacing w:before="0" w:after="0"/>
        <w:ind w:left="0" w:right="0" w:firstLine="72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9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460" w:type="dxa"/>
            <w:tcBorders/>
            <w:vAlign w:val="center"/>
          </w:tcPr>
          <w:p>
            <w:pPr>
              <w:pStyle w:val="TableContents"/>
              <w:bidi w:val="0"/>
              <w:spacing w:before="0" w:after="283"/>
              <w:jc w:val="both"/>
              <w:rPr/>
            </w:pPr>
            <w:r>
              <w:rPr/>
              <w:t>the Prospectus;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left"/>
              <w:rPr/>
            </w:pPr>
            <w:r>
              <w:rPr/>
              <w:t>a copy of the Amended and Restated Certificate of Incorporation (the “Certificate of Incorporation”), filed as Exhibit 3.1 to the Company’s Current Report on Form 8-K filed with the Commission on May 28,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5" w:type="dxa"/>
            <w:tcBorders/>
            <w:vAlign w:val="center"/>
          </w:tcPr>
          <w:p>
            <w:pPr>
              <w:pStyle w:val="TableContents"/>
              <w:bidi w:val="0"/>
              <w:spacing w:before="0" w:after="283"/>
              <w:jc w:val="left"/>
              <w:rPr/>
            </w:pPr>
            <w:r>
              <w:rPr/>
              <w:t>a copy of the Company’s Amended and Restated Bylaws (the “Bylaws”), filed as Exhibit 3.2 to the Company’s Current Report on Form 8-K filed with the Commission on February 13,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(e)</w:t>
            </w:r>
          </w:p>
        </w:tc>
        <w:tc>
          <w:tcPr>
            <w:tcW w:w="9898" w:type="dxa"/>
            <w:tcBorders/>
            <w:vAlign w:val="center"/>
          </w:tcPr>
          <w:p>
            <w:pPr>
              <w:pStyle w:val="TableContents"/>
              <w:bidi w:val="0"/>
              <w:spacing w:before="0" w:after="283"/>
              <w:jc w:val="left"/>
              <w:rPr/>
            </w:pPr>
            <w:r>
              <w:rPr/>
              <w:t>a copy of the resolutions of the Company’s board of directors adopted on January 2, 2026 and January 7,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In addition, in rendering the opinions expressed below, we have assumed that the Shares will be executed and countersigned by the transfer agent or registrar therefor as contemplated in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 the Shares, when sold and issued against payment therefor in accordance with the Registration Statement and Prospectus, will be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limited to questions arising under the Delaware General Corporation Law. We do not express any opinion as to the laws of any other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Shares pursuant to the Registration Statement and is not to be relied upon for any other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Company’s Current Report on Form 8-K dated July 6, 2026 and its incorporation by reference into the Registration Statement and to the reference to our firm as counsel for the Company under the caption “Legal Matters” in the Prospectus. In giving this consent, we do not thereby admit that we are within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90"/>
      </w:tblGrid>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White &amp; Case LLP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1558</Words>
  <Characters>8379</Characters>
  <CharactersWithSpaces>9950</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